
<file path=[Content_Types].xml><?xml version="1.0" encoding="utf-8"?>
<Types xmlns="http://schemas.openxmlformats.org/package/2006/content-types">
  <Default Extension="xml" ContentType="application/xml"/>
  <Default Extension="rels" ContentType="application/vnd.openxmlformats-package.relationships+xml"/>
  <Default Extension="jpeg" ContentType="image/jpeg"/>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463F4DF5" w14:textId="77777777" w:rsidR="00FA36A8" w:rsidRPr="00666DA8" w:rsidRDefault="00FA36A8" w:rsidP="00ED1517">
      <w:pPr>
        <w:spacing w:line="276" w:lineRule="auto"/>
        <w:jc w:val="center"/>
        <w:outlineLvl w:val="0"/>
        <w:rPr>
          <w:rFonts w:ascii="Titillium Web" w:eastAsiaTheme="minorHAnsi" w:hAnsi="Titillium Web" w:cstheme="minorBidi"/>
          <w:b/>
          <w:sz w:val="32"/>
          <w:lang w:eastAsia="en-US" w:bidi="ar-SA"/>
        </w:rPr>
      </w:pPr>
      <w:r w:rsidRPr="00666DA8">
        <w:rPr>
          <w:rFonts w:ascii="Titillium Web" w:eastAsiaTheme="minorHAnsi" w:hAnsi="Titillium Web" w:cstheme="minorBidi"/>
          <w:b/>
          <w:sz w:val="32"/>
          <w:lang w:eastAsia="en-US" w:bidi="ar-SA"/>
        </w:rPr>
        <w:t>SITUAZIONI D’ARTE</w:t>
      </w:r>
    </w:p>
    <w:p w14:paraId="059E91CA" w14:textId="77777777" w:rsidR="00B04A42" w:rsidRPr="00666DA8" w:rsidRDefault="00FA36A8" w:rsidP="00FA36A8">
      <w:pPr>
        <w:spacing w:line="276" w:lineRule="auto"/>
        <w:jc w:val="center"/>
        <w:outlineLvl w:val="0"/>
        <w:rPr>
          <w:rFonts w:ascii="Titillium Web" w:eastAsiaTheme="minorHAnsi" w:hAnsi="Titillium Web" w:cstheme="minorBidi"/>
          <w:b/>
          <w:sz w:val="32"/>
          <w:lang w:eastAsia="en-US" w:bidi="ar-SA"/>
        </w:rPr>
      </w:pPr>
      <w:r w:rsidRPr="00666DA8">
        <w:rPr>
          <w:rFonts w:ascii="Titillium Web" w:eastAsiaTheme="minorHAnsi" w:hAnsi="Titillium Web" w:cstheme="minorBidi"/>
          <w:b/>
          <w:sz w:val="32"/>
          <w:lang w:eastAsia="en-US" w:bidi="ar-SA"/>
        </w:rPr>
        <w:t>Selezione delle opere in mostra e inquadramento critico</w:t>
      </w:r>
    </w:p>
    <w:p w14:paraId="2F4BA76F" w14:textId="77777777" w:rsidR="007E4103" w:rsidRPr="00FA36A8" w:rsidRDefault="007E4103" w:rsidP="00FA36A8">
      <w:pPr>
        <w:spacing w:line="276" w:lineRule="auto"/>
        <w:jc w:val="both"/>
        <w:rPr>
          <w:rFonts w:ascii="Titillium Web" w:hAnsi="Titillium Web" w:cs="Garamond"/>
        </w:rPr>
      </w:pPr>
    </w:p>
    <w:p w14:paraId="046317E2" w14:textId="77777777" w:rsidR="00B04A42" w:rsidRPr="00FA36A8" w:rsidRDefault="00B04A42" w:rsidP="00FA36A8">
      <w:pPr>
        <w:spacing w:line="276" w:lineRule="auto"/>
        <w:jc w:val="both"/>
        <w:outlineLvl w:val="0"/>
        <w:rPr>
          <w:rFonts w:ascii="Titillium Web" w:hAnsi="Titillium Web" w:cs="Garamond"/>
          <w:b/>
        </w:rPr>
      </w:pPr>
      <w:r w:rsidRPr="00FA36A8">
        <w:rPr>
          <w:rFonts w:ascii="Titillium Web" w:hAnsi="Titillium Web" w:cs="Garamond"/>
          <w:b/>
        </w:rPr>
        <w:t>ARNALDO FERRAGUTI</w:t>
      </w:r>
    </w:p>
    <w:p w14:paraId="6897E24F" w14:textId="77777777" w:rsidR="00B04A42" w:rsidRPr="00FA36A8" w:rsidRDefault="00B04A42" w:rsidP="00FA36A8">
      <w:pPr>
        <w:spacing w:line="276" w:lineRule="auto"/>
        <w:jc w:val="both"/>
        <w:rPr>
          <w:rFonts w:ascii="Titillium Web" w:hAnsi="Titillium Web" w:cs="Garamond"/>
        </w:rPr>
      </w:pPr>
      <w:r w:rsidRPr="00FA36A8">
        <w:rPr>
          <w:rFonts w:ascii="Titillium Web" w:hAnsi="Titillium Web" w:cs="Garamond"/>
        </w:rPr>
        <w:t>Trasferitosi a Milan</w:t>
      </w:r>
      <w:bookmarkStart w:id="0" w:name="_GoBack"/>
      <w:bookmarkEnd w:id="0"/>
      <w:r w:rsidRPr="00FA36A8">
        <w:rPr>
          <w:rFonts w:ascii="Titillium Web" w:hAnsi="Titillium Web" w:cs="Garamond"/>
        </w:rPr>
        <w:t xml:space="preserve">o, </w:t>
      </w:r>
      <w:proofErr w:type="spellStart"/>
      <w:r w:rsidRPr="00FA36A8">
        <w:rPr>
          <w:rFonts w:ascii="Titillium Web" w:hAnsi="Titillium Web" w:cs="Garamond"/>
        </w:rPr>
        <w:t>Ferraguti</w:t>
      </w:r>
      <w:proofErr w:type="spellEnd"/>
      <w:r w:rsidRPr="00FA36A8">
        <w:rPr>
          <w:rFonts w:ascii="Titillium Web" w:hAnsi="Titillium Web" w:cs="Garamond"/>
        </w:rPr>
        <w:t xml:space="preserve"> si afferma nel campo dell’illustrazione e acquisisce notorietà tanto per le sue opere di “verismo sociale” quanto per una efficace azione di reportage</w:t>
      </w:r>
      <w:r w:rsidR="000D6C90" w:rsidRPr="00FA36A8">
        <w:rPr>
          <w:rFonts w:ascii="Titillium Web" w:hAnsi="Titillium Web" w:cs="Garamond"/>
        </w:rPr>
        <w:t xml:space="preserve"> della vita urbana.</w:t>
      </w:r>
      <w:r w:rsidRPr="00FA36A8">
        <w:rPr>
          <w:rFonts w:ascii="Titillium Web" w:hAnsi="Titillium Web" w:cs="Garamond"/>
        </w:rPr>
        <w:t xml:space="preserve"> </w:t>
      </w:r>
      <w:r w:rsidRPr="00666DA8">
        <w:rPr>
          <w:rFonts w:ascii="Titillium Web" w:hAnsi="Titillium Web" w:cs="Garamond"/>
          <w:i/>
        </w:rPr>
        <w:t>Lo spogliatoio delle ballerine</w:t>
      </w:r>
      <w:r w:rsidRPr="00FA36A8">
        <w:rPr>
          <w:rFonts w:ascii="Titillium Web" w:hAnsi="Titillium Web" w:cs="Garamond"/>
        </w:rPr>
        <w:t xml:space="preserve"> </w:t>
      </w:r>
      <w:r w:rsidR="007B59EE" w:rsidRPr="00FA36A8">
        <w:rPr>
          <w:rFonts w:ascii="Titillium Web" w:hAnsi="Titillium Web" w:cs="Garamond"/>
        </w:rPr>
        <w:t>(F</w:t>
      </w:r>
      <w:r w:rsidR="00584B35" w:rsidRPr="00FA36A8">
        <w:rPr>
          <w:rFonts w:ascii="Titillium Web" w:hAnsi="Titillium Web" w:cs="Garamond"/>
        </w:rPr>
        <w:t>ig</w:t>
      </w:r>
      <w:r w:rsidRPr="00FA36A8">
        <w:rPr>
          <w:rFonts w:ascii="Titillium Web" w:hAnsi="Titillium Web" w:cs="Garamond"/>
        </w:rPr>
        <w:t xml:space="preserve">. 1), </w:t>
      </w:r>
      <w:r w:rsidR="00BA03AD" w:rsidRPr="00FA36A8">
        <w:rPr>
          <w:rFonts w:ascii="Titillium Web" w:hAnsi="Titillium Web" w:cs="Garamond"/>
        </w:rPr>
        <w:t xml:space="preserve">un pastello </w:t>
      </w:r>
      <w:r w:rsidRPr="00FA36A8">
        <w:rPr>
          <w:rFonts w:ascii="Titillium Web" w:hAnsi="Titillium Web" w:cs="Garamond"/>
        </w:rPr>
        <w:t>risalente al 1901 circa e realizzato probabilmente per illustrare un periodico</w:t>
      </w:r>
      <w:r w:rsidR="00BA03AD" w:rsidRPr="00FA36A8">
        <w:rPr>
          <w:rFonts w:ascii="Titillium Web" w:hAnsi="Titillium Web" w:cs="Garamond"/>
        </w:rPr>
        <w:t xml:space="preserve"> degli editori Treves di Milano</w:t>
      </w:r>
      <w:r w:rsidRPr="00FA36A8">
        <w:rPr>
          <w:rFonts w:ascii="Titillium Web" w:hAnsi="Titillium Web" w:cs="Garamond"/>
        </w:rPr>
        <w:t xml:space="preserve">, è un esempio di come l’ausilio del mezzo fotografico sia stato fondamentale per registrare l’immediatezza della composizione. </w:t>
      </w:r>
    </w:p>
    <w:p w14:paraId="25D1ED28" w14:textId="77777777" w:rsidR="004E1673" w:rsidRPr="00FA36A8" w:rsidRDefault="004E1673" w:rsidP="00FA36A8">
      <w:pPr>
        <w:pStyle w:val="Testonotaapidipagina"/>
        <w:spacing w:line="276" w:lineRule="auto"/>
        <w:jc w:val="both"/>
        <w:rPr>
          <w:rFonts w:ascii="Titillium Web" w:hAnsi="Titillium Web" w:cs="Garamond"/>
          <w:sz w:val="24"/>
          <w:szCs w:val="24"/>
        </w:rPr>
      </w:pPr>
      <w:r w:rsidRPr="00FA36A8">
        <w:rPr>
          <w:rFonts w:ascii="Titillium Web" w:hAnsi="Titillium Web"/>
          <w:noProof/>
          <w:lang w:eastAsia="it-IT" w:bidi="ar-SA"/>
        </w:rPr>
        <w:drawing>
          <wp:inline distT="0" distB="0" distL="0" distR="0" wp14:anchorId="08779FB4" wp14:editId="70367077">
            <wp:extent cx="889423" cy="1284722"/>
            <wp:effectExtent l="25400" t="0" r="0" b="0"/>
            <wp:docPr id="1" name="Immagine 1" descr="Ferraguti acquisito da Zamboni maggio 20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erraguti acquisito da Zamboni maggio 2017"/>
                    <pic:cNvPicPr>
                      <a:picLocks noChangeAspect="1" noChangeArrowheads="1"/>
                    </pic:cNvPicPr>
                  </pic:nvPicPr>
                  <pic:blipFill>
                    <a:blip r:embed="rId6"/>
                    <a:srcRect/>
                    <a:stretch>
                      <a:fillRect/>
                    </a:stretch>
                  </pic:blipFill>
                  <pic:spPr bwMode="auto">
                    <a:xfrm>
                      <a:off x="0" y="0"/>
                      <a:ext cx="889901" cy="1285413"/>
                    </a:xfrm>
                    <a:prstGeom prst="rect">
                      <a:avLst/>
                    </a:prstGeom>
                    <a:noFill/>
                    <a:ln w="9525">
                      <a:noFill/>
                      <a:miter lim="800000"/>
                      <a:headEnd/>
                      <a:tailEnd/>
                    </a:ln>
                  </pic:spPr>
                </pic:pic>
              </a:graphicData>
            </a:graphic>
          </wp:inline>
        </w:drawing>
      </w:r>
      <w:r w:rsidR="00984B43" w:rsidRPr="00FA36A8">
        <w:rPr>
          <w:rFonts w:ascii="Titillium Web" w:hAnsi="Titillium Web" w:cs="Garamond"/>
          <w:sz w:val="24"/>
          <w:szCs w:val="24"/>
        </w:rPr>
        <w:t xml:space="preserve"> Fig</w:t>
      </w:r>
      <w:r w:rsidRPr="00FA36A8">
        <w:rPr>
          <w:rFonts w:ascii="Titillium Web" w:hAnsi="Titillium Web" w:cs="Garamond"/>
          <w:sz w:val="24"/>
          <w:szCs w:val="24"/>
        </w:rPr>
        <w:t>. 1</w:t>
      </w:r>
    </w:p>
    <w:p w14:paraId="0183E60F" w14:textId="77777777" w:rsidR="00B04A42" w:rsidRPr="00FA36A8" w:rsidRDefault="00B04A42" w:rsidP="00FA36A8">
      <w:pPr>
        <w:pStyle w:val="Testonotaapidipagina"/>
        <w:spacing w:line="276" w:lineRule="auto"/>
        <w:jc w:val="both"/>
        <w:rPr>
          <w:rFonts w:ascii="Titillium Web" w:hAnsi="Titillium Web" w:cs="Garamond"/>
          <w:b/>
          <w:sz w:val="24"/>
          <w:szCs w:val="24"/>
        </w:rPr>
      </w:pPr>
    </w:p>
    <w:p w14:paraId="3C1D8EB6" w14:textId="77777777" w:rsidR="00BB2E61" w:rsidRPr="00FA36A8" w:rsidRDefault="00960C76" w:rsidP="00FA36A8">
      <w:pPr>
        <w:spacing w:line="276" w:lineRule="auto"/>
        <w:jc w:val="both"/>
        <w:outlineLvl w:val="0"/>
        <w:rPr>
          <w:rFonts w:ascii="Titillium Web" w:hAnsi="Titillium Web" w:cs="Garamond"/>
          <w:b/>
        </w:rPr>
      </w:pPr>
      <w:r w:rsidRPr="00FA36A8">
        <w:rPr>
          <w:rFonts w:ascii="Titillium Web" w:hAnsi="Titillium Web" w:cs="Garamond"/>
          <w:b/>
        </w:rPr>
        <w:t>ALBERTO PISA</w:t>
      </w:r>
    </w:p>
    <w:p w14:paraId="54F8BDF9" w14:textId="77777777" w:rsidR="00BB2E61" w:rsidRPr="00FA36A8" w:rsidRDefault="00ED1517" w:rsidP="00FA36A8">
      <w:pPr>
        <w:spacing w:line="276" w:lineRule="auto"/>
        <w:jc w:val="both"/>
        <w:rPr>
          <w:rFonts w:ascii="Titillium Web" w:hAnsi="Titillium Web"/>
        </w:rPr>
      </w:pPr>
      <w:r>
        <w:rPr>
          <w:rFonts w:ascii="Titillium Web" w:hAnsi="Titillium Web" w:cs="Garamond"/>
        </w:rPr>
        <w:t>F</w:t>
      </w:r>
      <w:r w:rsidR="00960C76" w:rsidRPr="00FA36A8">
        <w:rPr>
          <w:rFonts w:ascii="Titillium Web" w:hAnsi="Titillium Web" w:cs="Garamond"/>
        </w:rPr>
        <w:t xml:space="preserve">ormatosi accanto ai macchiaioli toscani e aggiornatosi sulle esperienze francesi, </w:t>
      </w:r>
      <w:r>
        <w:rPr>
          <w:rFonts w:ascii="Titillium Web" w:hAnsi="Titillium Web" w:cs="Garamond"/>
        </w:rPr>
        <w:t xml:space="preserve">Alberto Pisa </w:t>
      </w:r>
      <w:r w:rsidR="00960C76" w:rsidRPr="00FA36A8">
        <w:rPr>
          <w:rFonts w:ascii="Titillium Web" w:hAnsi="Titillium Web" w:cs="Garamond"/>
        </w:rPr>
        <w:t xml:space="preserve">si mostra attento alla sperimentazione pittorica di varie condizioni di luce e di effetti di condizioni atmosferiche. </w:t>
      </w:r>
      <w:r w:rsidR="00960C76" w:rsidRPr="00666DA8">
        <w:rPr>
          <w:rFonts w:ascii="Titillium Web" w:hAnsi="Titillium Web" w:cs="Garamond"/>
          <w:i/>
        </w:rPr>
        <w:t xml:space="preserve">Trafalgar </w:t>
      </w:r>
      <w:proofErr w:type="spellStart"/>
      <w:r w:rsidR="00960C76" w:rsidRPr="00666DA8">
        <w:rPr>
          <w:rFonts w:ascii="Titillium Web" w:hAnsi="Titillium Web" w:cs="Garamond"/>
          <w:i/>
        </w:rPr>
        <w:t>Square</w:t>
      </w:r>
      <w:proofErr w:type="spellEnd"/>
      <w:r w:rsidR="007B59EE" w:rsidRPr="00FA36A8">
        <w:rPr>
          <w:rFonts w:ascii="Titillium Web" w:hAnsi="Titillium Web" w:cs="Garamond"/>
        </w:rPr>
        <w:t xml:space="preserve"> (Fig.</w:t>
      </w:r>
      <w:r w:rsidR="00B04A42" w:rsidRPr="00FA36A8">
        <w:rPr>
          <w:rFonts w:ascii="Titillium Web" w:hAnsi="Titillium Web" w:cs="Garamond"/>
        </w:rPr>
        <w:t xml:space="preserve"> 2</w:t>
      </w:r>
      <w:r w:rsidR="00960C76" w:rsidRPr="00FA36A8">
        <w:rPr>
          <w:rFonts w:ascii="Titillium Web" w:hAnsi="Titillium Web" w:cs="Garamond"/>
        </w:rPr>
        <w:t>) raffigura la brulicante vita della metropoli, sull’esempio delle composizioni dell’amico Boldini e degli autori d’oltralpe. Pisa, che in Inghilterra ha maturato un’importante esperienza nell’illustrazione, con le sue immagini risponde alle esigenze di un mercato colto e interessato a scoprire luoghi al di fuori dei soliti itinerari turistici.</w:t>
      </w:r>
    </w:p>
    <w:p w14:paraId="659CE74D" w14:textId="77777777" w:rsidR="00B04A42" w:rsidRPr="00FA36A8" w:rsidRDefault="00960C76" w:rsidP="00FA36A8">
      <w:pPr>
        <w:pStyle w:val="Testonotaapidipagina"/>
        <w:spacing w:line="276" w:lineRule="auto"/>
        <w:jc w:val="both"/>
        <w:rPr>
          <w:rFonts w:ascii="Titillium Web" w:hAnsi="Titillium Web" w:cs="Garamond"/>
          <w:sz w:val="24"/>
          <w:szCs w:val="24"/>
        </w:rPr>
      </w:pPr>
      <w:r w:rsidRPr="00FA36A8">
        <w:rPr>
          <w:rFonts w:ascii="Titillium Web" w:hAnsi="Titillium Web" w:cs="Garamond"/>
          <w:sz w:val="24"/>
          <w:szCs w:val="24"/>
        </w:rPr>
        <w:t>I suoi tre acquerelli raffigurant</w:t>
      </w:r>
      <w:r w:rsidR="007B59EE" w:rsidRPr="00FA36A8">
        <w:rPr>
          <w:rFonts w:ascii="Titillium Web" w:hAnsi="Titillium Web" w:cs="Garamond"/>
          <w:sz w:val="24"/>
          <w:szCs w:val="24"/>
        </w:rPr>
        <w:t>i i monumenti ferraresi (</w:t>
      </w:r>
      <w:proofErr w:type="spellStart"/>
      <w:r w:rsidR="007B59EE" w:rsidRPr="00FA36A8">
        <w:rPr>
          <w:rFonts w:ascii="Titillium Web" w:hAnsi="Titillium Web" w:cs="Garamond"/>
          <w:sz w:val="24"/>
          <w:szCs w:val="24"/>
        </w:rPr>
        <w:t>Figg</w:t>
      </w:r>
      <w:proofErr w:type="spellEnd"/>
      <w:r w:rsidR="00B04A42" w:rsidRPr="00FA36A8">
        <w:rPr>
          <w:rFonts w:ascii="Titillium Web" w:hAnsi="Titillium Web" w:cs="Garamond"/>
          <w:sz w:val="24"/>
          <w:szCs w:val="24"/>
        </w:rPr>
        <w:t>. 3</w:t>
      </w:r>
      <w:r w:rsidRPr="00FA36A8">
        <w:rPr>
          <w:rFonts w:ascii="Titillium Web" w:hAnsi="Titillium Web" w:cs="Garamond"/>
          <w:sz w:val="24"/>
          <w:szCs w:val="24"/>
        </w:rPr>
        <w:t xml:space="preserve">, </w:t>
      </w:r>
      <w:r w:rsidR="00B04A42" w:rsidRPr="00FA36A8">
        <w:rPr>
          <w:rFonts w:ascii="Titillium Web" w:hAnsi="Titillium Web" w:cs="Garamond"/>
          <w:sz w:val="24"/>
          <w:szCs w:val="24"/>
        </w:rPr>
        <w:t>4</w:t>
      </w:r>
      <w:r w:rsidRPr="00FA36A8">
        <w:rPr>
          <w:rFonts w:ascii="Titillium Web" w:hAnsi="Titillium Web" w:cs="Garamond"/>
          <w:sz w:val="24"/>
          <w:szCs w:val="24"/>
        </w:rPr>
        <w:t xml:space="preserve">, </w:t>
      </w:r>
      <w:r w:rsidR="00B04A42" w:rsidRPr="00FA36A8">
        <w:rPr>
          <w:rFonts w:ascii="Titillium Web" w:hAnsi="Titillium Web" w:cs="Garamond"/>
          <w:sz w:val="24"/>
          <w:szCs w:val="24"/>
        </w:rPr>
        <w:t>5</w:t>
      </w:r>
      <w:r w:rsidRPr="00FA36A8">
        <w:rPr>
          <w:rFonts w:ascii="Titillium Web" w:hAnsi="Titillium Web" w:cs="Garamond"/>
          <w:sz w:val="24"/>
          <w:szCs w:val="24"/>
        </w:rPr>
        <w:t xml:space="preserve">) fanno invece parte di un gruppo di diciotto tavole commissionate da Donato </w:t>
      </w:r>
      <w:proofErr w:type="spellStart"/>
      <w:r w:rsidRPr="00FA36A8">
        <w:rPr>
          <w:rFonts w:ascii="Titillium Web" w:hAnsi="Titillium Web" w:cs="Garamond"/>
          <w:sz w:val="24"/>
          <w:szCs w:val="24"/>
        </w:rPr>
        <w:t>Zaccarini</w:t>
      </w:r>
      <w:proofErr w:type="spellEnd"/>
      <w:r w:rsidRPr="00FA36A8">
        <w:rPr>
          <w:rFonts w:ascii="Titillium Web" w:hAnsi="Titillium Web" w:cs="Garamond"/>
          <w:sz w:val="24"/>
          <w:szCs w:val="24"/>
        </w:rPr>
        <w:t xml:space="preserve"> per illustrare </w:t>
      </w:r>
      <w:r w:rsidR="00ED1517" w:rsidRPr="00ED1517">
        <w:rPr>
          <w:rFonts w:ascii="Titillium Web" w:hAnsi="Titillium Web" w:cs="Garamond"/>
          <w:i/>
          <w:sz w:val="24"/>
          <w:szCs w:val="24"/>
        </w:rPr>
        <w:t>Ferrara A</w:t>
      </w:r>
      <w:r w:rsidRPr="00ED1517">
        <w:rPr>
          <w:rFonts w:ascii="Titillium Web" w:hAnsi="Titillium Web" w:cs="Garamond"/>
          <w:i/>
          <w:sz w:val="24"/>
          <w:szCs w:val="24"/>
        </w:rPr>
        <w:t>rmoniosa</w:t>
      </w:r>
      <w:r w:rsidR="00C851AF" w:rsidRPr="00FA36A8">
        <w:rPr>
          <w:rFonts w:ascii="Titillium Web" w:hAnsi="Titillium Web" w:cs="Garamond"/>
          <w:sz w:val="24"/>
          <w:szCs w:val="24"/>
        </w:rPr>
        <w:t xml:space="preserve"> (pubblicazione che non verrà poi realizzata per la sopraggiunta morte del suo autore).</w:t>
      </w:r>
      <w:r w:rsidRPr="00FA36A8">
        <w:rPr>
          <w:rFonts w:ascii="Titillium Web" w:hAnsi="Titillium Web" w:cs="Garamond"/>
          <w:sz w:val="24"/>
          <w:szCs w:val="24"/>
        </w:rPr>
        <w:t xml:space="preserve"> </w:t>
      </w:r>
      <w:r w:rsidR="00C851AF" w:rsidRPr="00FA36A8">
        <w:rPr>
          <w:rFonts w:ascii="Titillium Web" w:hAnsi="Titillium Web" w:cs="Garamond"/>
          <w:sz w:val="24"/>
          <w:szCs w:val="24"/>
        </w:rPr>
        <w:t>S</w:t>
      </w:r>
      <w:r w:rsidRPr="00FA36A8">
        <w:rPr>
          <w:rFonts w:ascii="Titillium Web" w:hAnsi="Titillium Web" w:cs="Garamond"/>
          <w:sz w:val="24"/>
          <w:szCs w:val="24"/>
        </w:rPr>
        <w:t xml:space="preserve">econdo l’intenzione </w:t>
      </w:r>
      <w:r w:rsidR="00C851AF" w:rsidRPr="00FA36A8">
        <w:rPr>
          <w:rFonts w:ascii="Titillium Web" w:hAnsi="Titillium Web" w:cs="Garamond"/>
          <w:sz w:val="24"/>
          <w:szCs w:val="24"/>
        </w:rPr>
        <w:t>d</w:t>
      </w:r>
      <w:r w:rsidR="00BA03AD" w:rsidRPr="00FA36A8">
        <w:rPr>
          <w:rFonts w:ascii="Titillium Web" w:hAnsi="Titillium Web" w:cs="Garamond"/>
          <w:sz w:val="24"/>
          <w:szCs w:val="24"/>
        </w:rPr>
        <w:t xml:space="preserve">i </w:t>
      </w:r>
      <w:proofErr w:type="spellStart"/>
      <w:r w:rsidR="00BA03AD" w:rsidRPr="00FA36A8">
        <w:rPr>
          <w:rFonts w:ascii="Titillium Web" w:hAnsi="Titillium Web" w:cs="Garamond"/>
          <w:sz w:val="24"/>
          <w:szCs w:val="24"/>
        </w:rPr>
        <w:t>Zaccarini</w:t>
      </w:r>
      <w:proofErr w:type="spellEnd"/>
      <w:r w:rsidR="00BA03AD" w:rsidRPr="00FA36A8">
        <w:rPr>
          <w:rFonts w:ascii="Titillium Web" w:hAnsi="Titillium Web" w:cs="Garamond"/>
          <w:sz w:val="24"/>
          <w:szCs w:val="24"/>
        </w:rPr>
        <w:t xml:space="preserve"> il libro avrebbe dov</w:t>
      </w:r>
      <w:r w:rsidR="00C851AF" w:rsidRPr="00FA36A8">
        <w:rPr>
          <w:rFonts w:ascii="Titillium Web" w:hAnsi="Titillium Web" w:cs="Garamond"/>
          <w:sz w:val="24"/>
          <w:szCs w:val="24"/>
        </w:rPr>
        <w:t>uto</w:t>
      </w:r>
      <w:r w:rsidRPr="00FA36A8">
        <w:rPr>
          <w:rFonts w:ascii="Titillium Web" w:hAnsi="Titillium Web" w:cs="Garamond"/>
          <w:sz w:val="24"/>
          <w:szCs w:val="24"/>
        </w:rPr>
        <w:t xml:space="preserve"> fornire «una chiara geniale sintesi della storia di Ferrara inquadrata nella storia generale d’Italia». </w:t>
      </w:r>
    </w:p>
    <w:p w14:paraId="4F6259C0" w14:textId="77777777" w:rsidR="00ED1517" w:rsidRDefault="00BB7D00" w:rsidP="00ED1517">
      <w:pPr>
        <w:spacing w:line="276" w:lineRule="auto"/>
        <w:jc w:val="both"/>
        <w:rPr>
          <w:rFonts w:ascii="Titillium Web" w:eastAsia="Times New Roman" w:hAnsi="Titillium Web" w:cs="Garamond"/>
          <w:lang w:eastAsia="it-IT"/>
        </w:rPr>
      </w:pPr>
      <w:r w:rsidRPr="00FA36A8">
        <w:rPr>
          <w:rFonts w:ascii="Titillium Web" w:hAnsi="Titillium Web"/>
          <w:noProof/>
          <w:sz w:val="20"/>
          <w:lang w:eastAsia="it-IT" w:bidi="ar-SA"/>
        </w:rPr>
        <w:drawing>
          <wp:inline distT="0" distB="0" distL="0" distR="0" wp14:anchorId="46441442" wp14:editId="3CCA0D21">
            <wp:extent cx="1292606" cy="913977"/>
            <wp:effectExtent l="25400" t="0" r="2794" b="0"/>
            <wp:docPr id="7" name="Immagine 7" descr="phoca_thumb_l_veduta di trafalgare square-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phoca_thumb_l_veduta di trafalgare square-2"/>
                    <pic:cNvPicPr>
                      <a:picLocks noChangeAspect="1" noChangeArrowheads="1"/>
                    </pic:cNvPicPr>
                  </pic:nvPicPr>
                  <pic:blipFill>
                    <a:blip r:embed="rId7"/>
                    <a:srcRect/>
                    <a:stretch>
                      <a:fillRect/>
                    </a:stretch>
                  </pic:blipFill>
                  <pic:spPr bwMode="auto">
                    <a:xfrm>
                      <a:off x="0" y="0"/>
                      <a:ext cx="1293282" cy="914455"/>
                    </a:xfrm>
                    <a:prstGeom prst="rect">
                      <a:avLst/>
                    </a:prstGeom>
                    <a:noFill/>
                    <a:ln w="9525">
                      <a:noFill/>
                      <a:miter lim="800000"/>
                      <a:headEnd/>
                      <a:tailEnd/>
                    </a:ln>
                  </pic:spPr>
                </pic:pic>
              </a:graphicData>
            </a:graphic>
          </wp:inline>
        </w:drawing>
      </w:r>
      <w:r w:rsidR="00984B43" w:rsidRPr="00FA36A8">
        <w:rPr>
          <w:rFonts w:ascii="Titillium Web" w:eastAsia="Times New Roman" w:hAnsi="Titillium Web" w:cs="Garamond"/>
          <w:lang w:eastAsia="it-IT"/>
        </w:rPr>
        <w:t xml:space="preserve"> Fig</w:t>
      </w:r>
      <w:r w:rsidRPr="00FA36A8">
        <w:rPr>
          <w:rFonts w:ascii="Titillium Web" w:eastAsia="Times New Roman" w:hAnsi="Titillium Web" w:cs="Garamond"/>
          <w:lang w:eastAsia="it-IT"/>
        </w:rPr>
        <w:t xml:space="preserve">. 2      </w:t>
      </w:r>
      <w:r w:rsidRPr="00FA36A8">
        <w:rPr>
          <w:rFonts w:ascii="Titillium Web" w:hAnsi="Titillium Web"/>
          <w:noProof/>
          <w:sz w:val="20"/>
          <w:lang w:eastAsia="it-IT" w:bidi="ar-SA"/>
        </w:rPr>
        <w:drawing>
          <wp:inline distT="0" distB="0" distL="0" distR="0" wp14:anchorId="2E668D12" wp14:editId="2F3EBC77">
            <wp:extent cx="1300057" cy="928846"/>
            <wp:effectExtent l="25400" t="0" r="0" b="0"/>
            <wp:docPr id="10" name="Immagine 10" descr="Alberto Pisa, veduta di Ferrara, Ga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Alberto Pisa, veduta di Ferrara, Gall"/>
                    <pic:cNvPicPr>
                      <a:picLocks noChangeAspect="1" noChangeArrowheads="1"/>
                    </pic:cNvPicPr>
                  </pic:nvPicPr>
                  <pic:blipFill>
                    <a:blip r:embed="rId8"/>
                    <a:srcRect/>
                    <a:stretch>
                      <a:fillRect/>
                    </a:stretch>
                  </pic:blipFill>
                  <pic:spPr bwMode="auto">
                    <a:xfrm>
                      <a:off x="0" y="0"/>
                      <a:ext cx="1300248" cy="928983"/>
                    </a:xfrm>
                    <a:prstGeom prst="rect">
                      <a:avLst/>
                    </a:prstGeom>
                    <a:noFill/>
                    <a:ln w="9525">
                      <a:noFill/>
                      <a:miter lim="800000"/>
                      <a:headEnd/>
                      <a:tailEnd/>
                    </a:ln>
                  </pic:spPr>
                </pic:pic>
              </a:graphicData>
            </a:graphic>
          </wp:inline>
        </w:drawing>
      </w:r>
      <w:r w:rsidRPr="00FA36A8">
        <w:rPr>
          <w:rFonts w:ascii="Titillium Web" w:hAnsi="Titillium Web"/>
          <w:noProof/>
          <w:sz w:val="20"/>
          <w:lang w:eastAsia="it-IT" w:bidi="ar-SA"/>
        </w:rPr>
        <w:drawing>
          <wp:inline distT="0" distB="0" distL="0" distR="0" wp14:anchorId="14D0DB4E" wp14:editId="2B79EA0C">
            <wp:extent cx="779357" cy="1070815"/>
            <wp:effectExtent l="25400" t="0" r="8043" b="0"/>
            <wp:docPr id="13" name="Immagine 13" descr="Alberto Pisa, veduta, 39x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Alberto Pisa, veduta, 39x28"/>
                    <pic:cNvPicPr>
                      <a:picLocks noChangeAspect="1" noChangeArrowheads="1"/>
                    </pic:cNvPicPr>
                  </pic:nvPicPr>
                  <pic:blipFill>
                    <a:blip r:embed="rId9"/>
                    <a:srcRect/>
                    <a:stretch>
                      <a:fillRect/>
                    </a:stretch>
                  </pic:blipFill>
                  <pic:spPr bwMode="auto">
                    <a:xfrm>
                      <a:off x="0" y="0"/>
                      <a:ext cx="779357" cy="1070815"/>
                    </a:xfrm>
                    <a:prstGeom prst="rect">
                      <a:avLst/>
                    </a:prstGeom>
                    <a:noFill/>
                    <a:ln w="9525">
                      <a:noFill/>
                      <a:miter lim="800000"/>
                      <a:headEnd/>
                      <a:tailEnd/>
                    </a:ln>
                  </pic:spPr>
                </pic:pic>
              </a:graphicData>
            </a:graphic>
          </wp:inline>
        </w:drawing>
      </w:r>
      <w:r w:rsidRPr="00FA36A8">
        <w:rPr>
          <w:rFonts w:ascii="Titillium Web" w:hAnsi="Titillium Web"/>
          <w:noProof/>
          <w:sz w:val="20"/>
          <w:lang w:eastAsia="it-IT" w:bidi="ar-SA"/>
        </w:rPr>
        <w:drawing>
          <wp:inline distT="0" distB="0" distL="0" distR="0" wp14:anchorId="7F14965D" wp14:editId="53D95CFA">
            <wp:extent cx="766657" cy="1074152"/>
            <wp:effectExtent l="25400" t="0" r="0" b="0"/>
            <wp:docPr id="16" name="Immagine 16" descr="Alberto Pisa, veduta di Ferrara, cm 39x28, Ga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Alberto Pisa, veduta di Ferrara, cm 39x28, Gall"/>
                    <pic:cNvPicPr>
                      <a:picLocks noChangeAspect="1" noChangeArrowheads="1"/>
                    </pic:cNvPicPr>
                  </pic:nvPicPr>
                  <pic:blipFill>
                    <a:blip r:embed="rId10"/>
                    <a:srcRect/>
                    <a:stretch>
                      <a:fillRect/>
                    </a:stretch>
                  </pic:blipFill>
                  <pic:spPr bwMode="auto">
                    <a:xfrm>
                      <a:off x="0" y="0"/>
                      <a:ext cx="766657" cy="1074152"/>
                    </a:xfrm>
                    <a:prstGeom prst="rect">
                      <a:avLst/>
                    </a:prstGeom>
                    <a:noFill/>
                    <a:ln w="9525">
                      <a:noFill/>
                      <a:miter lim="800000"/>
                      <a:headEnd/>
                      <a:tailEnd/>
                    </a:ln>
                  </pic:spPr>
                </pic:pic>
              </a:graphicData>
            </a:graphic>
          </wp:inline>
        </w:drawing>
      </w:r>
      <w:r w:rsidR="00984B43" w:rsidRPr="00FA36A8">
        <w:rPr>
          <w:rFonts w:ascii="Titillium Web" w:eastAsia="Times New Roman" w:hAnsi="Titillium Web" w:cs="Garamond"/>
          <w:lang w:eastAsia="it-IT"/>
        </w:rPr>
        <w:t xml:space="preserve"> </w:t>
      </w:r>
      <w:proofErr w:type="spellStart"/>
      <w:r w:rsidR="00984B43" w:rsidRPr="00FA36A8">
        <w:rPr>
          <w:rFonts w:ascii="Titillium Web" w:eastAsia="Times New Roman" w:hAnsi="Titillium Web" w:cs="Garamond"/>
          <w:lang w:eastAsia="it-IT"/>
        </w:rPr>
        <w:t>Figg</w:t>
      </w:r>
      <w:proofErr w:type="spellEnd"/>
      <w:r w:rsidRPr="00FA36A8">
        <w:rPr>
          <w:rFonts w:ascii="Titillium Web" w:eastAsia="Times New Roman" w:hAnsi="Titillium Web" w:cs="Garamond"/>
          <w:lang w:eastAsia="it-IT"/>
        </w:rPr>
        <w:t>. 3, 4, 5</w:t>
      </w:r>
    </w:p>
    <w:p w14:paraId="0B1A005B" w14:textId="77777777" w:rsidR="00ED1517" w:rsidRDefault="00ED1517" w:rsidP="00ED1517">
      <w:pPr>
        <w:spacing w:line="276" w:lineRule="auto"/>
        <w:jc w:val="both"/>
        <w:rPr>
          <w:rFonts w:ascii="Titillium Web" w:eastAsia="Times New Roman" w:hAnsi="Titillium Web" w:cs="Garamond"/>
          <w:b/>
          <w:lang w:eastAsia="it-IT"/>
        </w:rPr>
      </w:pPr>
    </w:p>
    <w:p w14:paraId="7F8C6238" w14:textId="77777777" w:rsidR="00B04A42" w:rsidRPr="00ED1517" w:rsidRDefault="00B04A42" w:rsidP="00ED1517">
      <w:pPr>
        <w:spacing w:line="276" w:lineRule="auto"/>
        <w:jc w:val="both"/>
        <w:rPr>
          <w:rFonts w:ascii="Titillium Web" w:eastAsia="Times New Roman" w:hAnsi="Titillium Web" w:cs="Garamond"/>
          <w:lang w:eastAsia="it-IT"/>
        </w:rPr>
      </w:pPr>
      <w:r w:rsidRPr="00FA36A8">
        <w:rPr>
          <w:rFonts w:ascii="Titillium Web" w:eastAsia="Times New Roman" w:hAnsi="Titillium Web" w:cs="Garamond"/>
          <w:b/>
          <w:lang w:eastAsia="it-IT"/>
        </w:rPr>
        <w:lastRenderedPageBreak/>
        <w:t>GIOVAN BATTISTA CREMA</w:t>
      </w:r>
    </w:p>
    <w:p w14:paraId="47A10344" w14:textId="77777777" w:rsidR="00B04A42" w:rsidRPr="00FA36A8" w:rsidRDefault="00B04A42" w:rsidP="00FA36A8">
      <w:pPr>
        <w:spacing w:line="276" w:lineRule="auto"/>
        <w:jc w:val="both"/>
        <w:rPr>
          <w:rFonts w:ascii="Titillium Web" w:hAnsi="Titillium Web"/>
        </w:rPr>
      </w:pPr>
      <w:r w:rsidRPr="00FA36A8">
        <w:rPr>
          <w:rFonts w:ascii="Titillium Web" w:eastAsia="Times New Roman" w:hAnsi="Titillium Web" w:cs="Garamond"/>
          <w:lang w:eastAsia="it-IT"/>
        </w:rPr>
        <w:t xml:space="preserve">Nato il 13 aprile 1883 nello stesso palazzo in cui oggi si espongono alcune sue opere, Crema affronta pressoché tutti i generi pittorici mostrando una chiara ascendenza simbolico-divisionista. Le novità provenienti dall’ambito simbolista italiano ed europeo si raccordano nelle composizioni di Crema con una impostazione realista. Presto emerge </w:t>
      </w:r>
      <w:r w:rsidRPr="00FA36A8">
        <w:rPr>
          <w:rStyle w:val="Enfasigrassetto"/>
          <w:rFonts w:ascii="Titillium Web" w:eastAsia="Times New Roman" w:hAnsi="Titillium Web" w:cs="Arial"/>
          <w:b w:val="0"/>
          <w:bCs w:val="0"/>
          <w:color w:val="000000"/>
          <w:lang w:eastAsia="it-IT"/>
        </w:rPr>
        <w:t xml:space="preserve">un’inclinazione verso i toni “lugubri e misteriosi” che raggiungono </w:t>
      </w:r>
      <w:r w:rsidR="00ED1517">
        <w:rPr>
          <w:rFonts w:ascii="Titillium Web" w:eastAsia="Times New Roman" w:hAnsi="Titillium Web" w:cs="Arial"/>
          <w:color w:val="000000"/>
          <w:lang w:eastAsia="it-IT"/>
        </w:rPr>
        <w:t>un punto di approdo</w:t>
      </w:r>
      <w:r w:rsidRPr="00FA36A8">
        <w:rPr>
          <w:rFonts w:ascii="Titillium Web" w:eastAsia="Times New Roman" w:hAnsi="Titillium Web" w:cs="Arial"/>
          <w:color w:val="000000"/>
          <w:lang w:eastAsia="it-IT"/>
        </w:rPr>
        <w:t xml:space="preserve"> nelle tavole illustrative per il libro</w:t>
      </w:r>
      <w:r w:rsidRPr="00FA36A8">
        <w:rPr>
          <w:rStyle w:val="apple-converted-space"/>
          <w:rFonts w:ascii="Titillium Web" w:eastAsia="Times New Roman" w:hAnsi="Titillium Web" w:cs="Arial"/>
          <w:color w:val="000000"/>
          <w:lang w:eastAsia="it-IT"/>
        </w:rPr>
        <w:t> </w:t>
      </w:r>
      <w:r w:rsidRPr="00ED1517">
        <w:rPr>
          <w:rStyle w:val="Enfasi"/>
          <w:rFonts w:ascii="Titillium Web" w:eastAsia="Times New Roman" w:hAnsi="Titillium Web" w:cs="Arial"/>
          <w:iCs w:val="0"/>
          <w:color w:val="000000"/>
          <w:lang w:eastAsia="it-IT"/>
        </w:rPr>
        <w:t>Leggende romane</w:t>
      </w:r>
      <w:r w:rsidRPr="00ED1517">
        <w:rPr>
          <w:rStyle w:val="apple-converted-space"/>
          <w:rFonts w:ascii="Titillium Web" w:eastAsia="Times New Roman" w:hAnsi="Titillium Web" w:cs="Arial"/>
          <w:color w:val="000000"/>
          <w:lang w:eastAsia="it-IT"/>
        </w:rPr>
        <w:t> </w:t>
      </w:r>
      <w:r w:rsidRPr="00FA36A8">
        <w:rPr>
          <w:rFonts w:ascii="Titillium Web" w:eastAsia="Times New Roman" w:hAnsi="Titillium Web" w:cs="Arial"/>
          <w:color w:val="000000"/>
          <w:lang w:eastAsia="it-IT"/>
        </w:rPr>
        <w:t xml:space="preserve">di Luigi </w:t>
      </w:r>
      <w:proofErr w:type="spellStart"/>
      <w:r w:rsidRPr="00FA36A8">
        <w:rPr>
          <w:rFonts w:ascii="Titillium Web" w:eastAsia="Times New Roman" w:hAnsi="Titillium Web" w:cs="Arial"/>
          <w:color w:val="000000"/>
          <w:lang w:eastAsia="it-IT"/>
        </w:rPr>
        <w:t>Callari</w:t>
      </w:r>
      <w:proofErr w:type="spellEnd"/>
      <w:r w:rsidRPr="00FA36A8">
        <w:rPr>
          <w:rFonts w:ascii="Titillium Web" w:eastAsia="Times New Roman" w:hAnsi="Titillium Web" w:cs="Arial"/>
          <w:color w:val="000000"/>
          <w:lang w:eastAsia="it-IT"/>
        </w:rPr>
        <w:t xml:space="preserve"> del 1913. </w:t>
      </w:r>
    </w:p>
    <w:p w14:paraId="07072A8A" w14:textId="77777777" w:rsidR="00B04A42" w:rsidRPr="00FA36A8" w:rsidRDefault="00B04A42" w:rsidP="00FA36A8">
      <w:pPr>
        <w:jc w:val="both"/>
        <w:rPr>
          <w:rFonts w:ascii="Titillium Web" w:hAnsi="Titillium Web"/>
        </w:rPr>
      </w:pPr>
      <w:r w:rsidRPr="00FA36A8">
        <w:rPr>
          <w:rFonts w:ascii="Titillium Web" w:hAnsi="Titillium Web"/>
        </w:rPr>
        <w:t xml:space="preserve">Della grande tela con </w:t>
      </w:r>
      <w:r w:rsidR="007B59EE" w:rsidRPr="00FA36A8">
        <w:rPr>
          <w:rFonts w:ascii="Titillium Web" w:hAnsi="Titillium Web" w:cs="Arial"/>
        </w:rPr>
        <w:t>le figure esili che danzano (F</w:t>
      </w:r>
      <w:r w:rsidR="00584B35" w:rsidRPr="00FA36A8">
        <w:rPr>
          <w:rFonts w:ascii="Titillium Web" w:hAnsi="Titillium Web" w:cs="Arial"/>
        </w:rPr>
        <w:t>ig</w:t>
      </w:r>
      <w:r w:rsidRPr="00FA36A8">
        <w:rPr>
          <w:rFonts w:ascii="Titillium Web" w:hAnsi="Titillium Web" w:cs="Arial"/>
        </w:rPr>
        <w:t>. 6) scriverà nel 1922 Filippo de Pisis, segnalando come il pittore sfruttasse, in una coreografia di gusto liberty,</w:t>
      </w:r>
      <w:r w:rsidRPr="00FA36A8">
        <w:rPr>
          <w:rFonts w:ascii="Titillium Web" w:hAnsi="Titillium Web"/>
        </w:rPr>
        <w:t xml:space="preserve"> il potere espressivo del colore per ricreare un’ambientazione sospesa, “tra lo scenografico e il melodrammatico”, nel rinvio alle </w:t>
      </w:r>
      <w:r w:rsidRPr="00FA36A8">
        <w:rPr>
          <w:rFonts w:ascii="Titillium Web" w:eastAsia="Times New Roman" w:hAnsi="Titillium Web" w:cs="Arial"/>
          <w:color w:val="000000"/>
          <w:lang w:eastAsia="it-IT"/>
        </w:rPr>
        <w:t xml:space="preserve">atmosfere del Secessionismo monacense di Franz von </w:t>
      </w:r>
      <w:proofErr w:type="spellStart"/>
      <w:r w:rsidRPr="00FA36A8">
        <w:rPr>
          <w:rFonts w:ascii="Titillium Web" w:eastAsia="Times New Roman" w:hAnsi="Titillium Web" w:cs="Arial"/>
          <w:color w:val="000000"/>
          <w:lang w:eastAsia="it-IT"/>
        </w:rPr>
        <w:t>Stuck</w:t>
      </w:r>
      <w:proofErr w:type="spellEnd"/>
      <w:r w:rsidRPr="00FA36A8">
        <w:rPr>
          <w:rFonts w:ascii="Titillium Web" w:eastAsia="Times New Roman" w:hAnsi="Titillium Web" w:cs="Arial"/>
          <w:color w:val="000000"/>
          <w:lang w:eastAsia="it-IT"/>
        </w:rPr>
        <w:t>.</w:t>
      </w:r>
      <w:r w:rsidRPr="00FA36A8">
        <w:rPr>
          <w:rFonts w:ascii="Titillium Web" w:hAnsi="Titillium Web"/>
        </w:rPr>
        <w:t xml:space="preserve"> </w:t>
      </w:r>
    </w:p>
    <w:p w14:paraId="38F793A6" w14:textId="77777777" w:rsidR="00BA03AD" w:rsidRPr="00FA36A8" w:rsidRDefault="00B04A42" w:rsidP="00FA36A8">
      <w:pPr>
        <w:spacing w:line="276" w:lineRule="auto"/>
        <w:jc w:val="both"/>
        <w:rPr>
          <w:rStyle w:val="testopupcontenuti"/>
          <w:rFonts w:ascii="Titillium Web" w:hAnsi="Titillium Web"/>
        </w:rPr>
      </w:pPr>
      <w:r w:rsidRPr="00FA36A8">
        <w:rPr>
          <w:rStyle w:val="testopupcontenuti"/>
          <w:rFonts w:ascii="Titillium Web" w:eastAsia="Times New Roman" w:hAnsi="Titillium Web" w:cs="Garamond"/>
          <w:color w:val="000000"/>
          <w:highlight w:val="white"/>
          <w:lang w:eastAsia="it-IT"/>
        </w:rPr>
        <w:t xml:space="preserve">Per il dipinto </w:t>
      </w:r>
      <w:r w:rsidRPr="00666DA8">
        <w:rPr>
          <w:rStyle w:val="testopupcontenuti"/>
          <w:rFonts w:ascii="Titillium Web" w:eastAsia="Times New Roman" w:hAnsi="Titillium Web" w:cs="Garamond"/>
          <w:i/>
          <w:color w:val="000000"/>
          <w:highlight w:val="white"/>
          <w:lang w:eastAsia="it-IT"/>
        </w:rPr>
        <w:t>Allegoria marina</w:t>
      </w:r>
      <w:r w:rsidR="007B59EE" w:rsidRPr="00FA36A8">
        <w:rPr>
          <w:rStyle w:val="testopupcontenuti"/>
          <w:rFonts w:ascii="Titillium Web" w:eastAsia="Times New Roman" w:hAnsi="Titillium Web" w:cs="Garamond"/>
          <w:color w:val="000000"/>
          <w:highlight w:val="white"/>
          <w:lang w:eastAsia="it-IT"/>
        </w:rPr>
        <w:t xml:space="preserve"> (F</w:t>
      </w:r>
      <w:r w:rsidR="00584B35" w:rsidRPr="00FA36A8">
        <w:rPr>
          <w:rStyle w:val="testopupcontenuti"/>
          <w:rFonts w:ascii="Titillium Web" w:eastAsia="Times New Roman" w:hAnsi="Titillium Web" w:cs="Garamond"/>
          <w:color w:val="000000"/>
          <w:highlight w:val="white"/>
          <w:lang w:eastAsia="it-IT"/>
        </w:rPr>
        <w:t>ig</w:t>
      </w:r>
      <w:r w:rsidRPr="00FA36A8">
        <w:rPr>
          <w:rStyle w:val="testopupcontenuti"/>
          <w:rFonts w:ascii="Titillium Web" w:eastAsia="Times New Roman" w:hAnsi="Titillium Web" w:cs="Garamond"/>
          <w:color w:val="000000"/>
          <w:highlight w:val="white"/>
          <w:lang w:eastAsia="it-IT"/>
        </w:rPr>
        <w:t>. 7) Crema evoca il mito classico sovvertendone i canoni di equilibrio e ordine. Si tratta di una scena animata da tritoni e nereidi che s</w:t>
      </w:r>
      <w:r w:rsidR="007B59EE" w:rsidRPr="00FA36A8">
        <w:rPr>
          <w:rStyle w:val="testopupcontenuti"/>
          <w:rFonts w:ascii="Titillium Web" w:eastAsia="Times New Roman" w:hAnsi="Titillium Web" w:cs="Garamond"/>
          <w:color w:val="000000"/>
          <w:highlight w:val="white"/>
          <w:lang w:eastAsia="it-IT"/>
        </w:rPr>
        <w:t xml:space="preserve">i agitano attorno alla ninfa </w:t>
      </w:r>
      <w:r w:rsidRPr="00FA36A8">
        <w:rPr>
          <w:rStyle w:val="testopupcontenuti"/>
          <w:rFonts w:ascii="Titillium Web" w:eastAsia="Times New Roman" w:hAnsi="Titillium Web" w:cs="Garamond"/>
          <w:color w:val="000000"/>
          <w:highlight w:val="white"/>
          <w:lang w:eastAsia="it-IT"/>
        </w:rPr>
        <w:t xml:space="preserve">Galatea. È un’interpretazione che rimanda, di nuovo, ad alcune soluzioni figurative di Arnold </w:t>
      </w:r>
      <w:proofErr w:type="spellStart"/>
      <w:r w:rsidRPr="00FA36A8">
        <w:rPr>
          <w:rStyle w:val="testopupcontenuti"/>
          <w:rFonts w:ascii="Titillium Web" w:eastAsia="Times New Roman" w:hAnsi="Titillium Web" w:cs="Garamond"/>
          <w:color w:val="000000"/>
          <w:highlight w:val="white"/>
          <w:lang w:eastAsia="it-IT"/>
        </w:rPr>
        <w:t>Böcklin</w:t>
      </w:r>
      <w:proofErr w:type="spellEnd"/>
      <w:r w:rsidRPr="00FA36A8">
        <w:rPr>
          <w:rStyle w:val="testopupcontenuti"/>
          <w:rFonts w:ascii="Titillium Web" w:eastAsia="Times New Roman" w:hAnsi="Titillium Web" w:cs="Garamond"/>
          <w:color w:val="000000"/>
          <w:highlight w:val="white"/>
          <w:lang w:eastAsia="it-IT"/>
        </w:rPr>
        <w:t xml:space="preserve"> e Von </w:t>
      </w:r>
      <w:proofErr w:type="spellStart"/>
      <w:r w:rsidRPr="00FA36A8">
        <w:rPr>
          <w:rStyle w:val="testopupcontenuti"/>
          <w:rFonts w:ascii="Titillium Web" w:eastAsia="Times New Roman" w:hAnsi="Titillium Web" w:cs="Garamond"/>
          <w:color w:val="000000"/>
          <w:highlight w:val="white"/>
          <w:lang w:eastAsia="it-IT"/>
        </w:rPr>
        <w:t>Stuck</w:t>
      </w:r>
      <w:proofErr w:type="spellEnd"/>
      <w:r w:rsidR="00584B35" w:rsidRPr="00FA36A8">
        <w:rPr>
          <w:rStyle w:val="testopupcontenuti"/>
          <w:rFonts w:ascii="Titillium Web" w:eastAsia="Times New Roman" w:hAnsi="Titillium Web" w:cs="Garamond"/>
          <w:color w:val="000000"/>
          <w:highlight w:val="white"/>
          <w:lang w:eastAsia="it-IT"/>
        </w:rPr>
        <w:t xml:space="preserve"> e alla loro visione della classicità in chiave nietzschiana</w:t>
      </w:r>
      <w:r w:rsidRPr="00FA36A8">
        <w:rPr>
          <w:rStyle w:val="testopupcontenuti"/>
          <w:rFonts w:ascii="Titillium Web" w:eastAsia="Times New Roman" w:hAnsi="Titillium Web" w:cs="Garamond"/>
          <w:color w:val="000000"/>
          <w:highlight w:val="white"/>
          <w:lang w:eastAsia="it-IT"/>
        </w:rPr>
        <w:t xml:space="preserve">. </w:t>
      </w:r>
    </w:p>
    <w:p w14:paraId="0CE824E5" w14:textId="77777777" w:rsidR="00584B35" w:rsidRPr="00FA36A8" w:rsidRDefault="00584B35" w:rsidP="00FA36A8">
      <w:pPr>
        <w:spacing w:line="276" w:lineRule="auto"/>
        <w:jc w:val="both"/>
        <w:rPr>
          <w:rFonts w:ascii="Titillium Web" w:hAnsi="Titillium Web"/>
        </w:rPr>
      </w:pPr>
    </w:p>
    <w:p w14:paraId="40DC13A6" w14:textId="77777777" w:rsidR="00B04A42" w:rsidRPr="00FA36A8" w:rsidRDefault="00BB7D00" w:rsidP="00FA36A8">
      <w:pPr>
        <w:pStyle w:val="Testonotaapidipagina"/>
        <w:spacing w:line="276" w:lineRule="auto"/>
        <w:jc w:val="both"/>
        <w:rPr>
          <w:rFonts w:ascii="Titillium Web" w:hAnsi="Titillium Web"/>
          <w:szCs w:val="24"/>
        </w:rPr>
      </w:pPr>
      <w:r w:rsidRPr="00FA36A8">
        <w:rPr>
          <w:rFonts w:ascii="Titillium Web" w:hAnsi="Titillium Web"/>
          <w:noProof/>
          <w:lang w:eastAsia="it-IT" w:bidi="ar-SA"/>
        </w:rPr>
        <w:drawing>
          <wp:inline distT="0" distB="0" distL="0" distR="0" wp14:anchorId="21879215" wp14:editId="68FBFED3">
            <wp:extent cx="1446812" cy="914823"/>
            <wp:effectExtent l="25400" t="0" r="988" b="0"/>
            <wp:docPr id="5" name="Immagin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3"/>
                    <pic:cNvPicPr>
                      <a:picLocks noChangeAspect="1" noChangeArrowheads="1"/>
                    </pic:cNvPicPr>
                  </pic:nvPicPr>
                  <pic:blipFill>
                    <a:blip r:embed="rId11">
                      <a:lum bright="20000"/>
                    </a:blip>
                    <a:srcRect/>
                    <a:stretch>
                      <a:fillRect/>
                    </a:stretch>
                  </pic:blipFill>
                  <pic:spPr bwMode="auto">
                    <a:xfrm>
                      <a:off x="0" y="0"/>
                      <a:ext cx="1446260" cy="914474"/>
                    </a:xfrm>
                    <a:prstGeom prst="rect">
                      <a:avLst/>
                    </a:prstGeom>
                    <a:solidFill>
                      <a:srgbClr val="FFFFFF"/>
                    </a:solidFill>
                    <a:ln w="9525">
                      <a:noFill/>
                      <a:miter lim="800000"/>
                      <a:headEnd/>
                      <a:tailEnd/>
                    </a:ln>
                  </pic:spPr>
                </pic:pic>
              </a:graphicData>
            </a:graphic>
          </wp:inline>
        </w:drawing>
      </w:r>
      <w:r w:rsidRPr="00FA36A8">
        <w:rPr>
          <w:rFonts w:ascii="Titillium Web" w:hAnsi="Titillium Web" w:cs="Garamond"/>
          <w:sz w:val="24"/>
          <w:szCs w:val="24"/>
        </w:rPr>
        <w:t xml:space="preserve"> </w:t>
      </w:r>
      <w:r w:rsidR="00984B43" w:rsidRPr="00FA36A8">
        <w:rPr>
          <w:rFonts w:ascii="Titillium Web" w:hAnsi="Titillium Web"/>
        </w:rPr>
        <w:t>Fig</w:t>
      </w:r>
      <w:r w:rsidRPr="00FA36A8">
        <w:rPr>
          <w:rFonts w:ascii="Titillium Web" w:hAnsi="Titillium Web"/>
        </w:rPr>
        <w:t xml:space="preserve">. 6 </w:t>
      </w:r>
      <w:r w:rsidRPr="00FA36A8">
        <w:rPr>
          <w:rFonts w:ascii="Titillium Web" w:hAnsi="Titillium Web"/>
          <w:noProof/>
          <w:lang w:eastAsia="it-IT" w:bidi="ar-SA"/>
        </w:rPr>
        <w:drawing>
          <wp:inline distT="0" distB="0" distL="0" distR="0" wp14:anchorId="266BE4A2" wp14:editId="142ED79F">
            <wp:extent cx="1736090" cy="987460"/>
            <wp:effectExtent l="25400" t="0" r="0" b="0"/>
            <wp:docPr id="6" name="Immagine 1" descr="GB"/>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1" descr="GB"/>
                    <pic:cNvPicPr>
                      <a:picLocks noChangeAspect="1" noChangeArrowheads="1"/>
                    </pic:cNvPicPr>
                  </pic:nvPicPr>
                  <pic:blipFill>
                    <a:blip r:embed="rId12">
                      <a:lum bright="20000"/>
                    </a:blip>
                    <a:srcRect/>
                    <a:stretch>
                      <a:fillRect/>
                    </a:stretch>
                  </pic:blipFill>
                  <pic:spPr bwMode="auto">
                    <a:xfrm>
                      <a:off x="0" y="0"/>
                      <a:ext cx="1736329" cy="987596"/>
                    </a:xfrm>
                    <a:prstGeom prst="rect">
                      <a:avLst/>
                    </a:prstGeom>
                    <a:noFill/>
                    <a:ln w="9525">
                      <a:noFill/>
                      <a:miter lim="800000"/>
                      <a:headEnd/>
                      <a:tailEnd/>
                    </a:ln>
                  </pic:spPr>
                </pic:pic>
              </a:graphicData>
            </a:graphic>
          </wp:inline>
        </w:drawing>
      </w:r>
      <w:r w:rsidR="00984B43" w:rsidRPr="00FA36A8">
        <w:rPr>
          <w:rFonts w:ascii="Titillium Web" w:hAnsi="Titillium Web"/>
        </w:rPr>
        <w:t xml:space="preserve"> Fig</w:t>
      </w:r>
      <w:r w:rsidRPr="00FA36A8">
        <w:rPr>
          <w:rFonts w:ascii="Titillium Web" w:hAnsi="Titillium Web"/>
        </w:rPr>
        <w:t>. 7</w:t>
      </w:r>
    </w:p>
    <w:p w14:paraId="55EA9275" w14:textId="77777777" w:rsidR="00BB7D00" w:rsidRPr="00FA36A8" w:rsidRDefault="00BB7D00" w:rsidP="00FA36A8">
      <w:pPr>
        <w:pStyle w:val="Testonotaapidipagina"/>
        <w:spacing w:line="276" w:lineRule="auto"/>
        <w:jc w:val="both"/>
        <w:rPr>
          <w:rFonts w:ascii="Titillium Web" w:hAnsi="Titillium Web" w:cs="Garamond"/>
          <w:sz w:val="24"/>
          <w:szCs w:val="24"/>
        </w:rPr>
      </w:pPr>
    </w:p>
    <w:p w14:paraId="23017377" w14:textId="77777777" w:rsidR="00B04A42" w:rsidRPr="00FA36A8" w:rsidRDefault="00B04A42" w:rsidP="00FA36A8">
      <w:pPr>
        <w:spacing w:line="276" w:lineRule="auto"/>
        <w:jc w:val="both"/>
        <w:outlineLvl w:val="0"/>
        <w:rPr>
          <w:rFonts w:ascii="Titillium Web" w:eastAsia="Times New Roman" w:hAnsi="Titillium Web" w:cs="Garamond"/>
          <w:b/>
          <w:lang w:eastAsia="it-IT"/>
        </w:rPr>
      </w:pPr>
      <w:r w:rsidRPr="00FA36A8">
        <w:rPr>
          <w:rFonts w:ascii="Titillium Web" w:eastAsia="Times New Roman" w:hAnsi="Titillium Web" w:cs="Garamond"/>
          <w:b/>
          <w:lang w:eastAsia="it-IT"/>
        </w:rPr>
        <w:t>ROBERTO MELLI</w:t>
      </w:r>
    </w:p>
    <w:p w14:paraId="09B7515C" w14:textId="77777777" w:rsidR="00B04A42" w:rsidRPr="00FA36A8" w:rsidRDefault="00B04A42" w:rsidP="00FA36A8">
      <w:pPr>
        <w:jc w:val="both"/>
        <w:rPr>
          <w:rFonts w:ascii="Titillium Web" w:hAnsi="Titillium Web"/>
          <w:color w:val="000000"/>
          <w:shd w:val="clear" w:color="auto" w:fill="FFFFFF"/>
        </w:rPr>
      </w:pPr>
      <w:r w:rsidRPr="00FA36A8">
        <w:rPr>
          <w:rFonts w:ascii="Titillium Web" w:hAnsi="Titillium Web"/>
        </w:rPr>
        <w:t>La figura del grande poeta ferrarese</w:t>
      </w:r>
      <w:r w:rsidR="00666DA8">
        <w:rPr>
          <w:rFonts w:ascii="Titillium Web" w:hAnsi="Titillium Web"/>
        </w:rPr>
        <w:t xml:space="preserve"> </w:t>
      </w:r>
      <w:r w:rsidR="00666DA8" w:rsidRPr="00FA36A8">
        <w:rPr>
          <w:rFonts w:ascii="Titillium Web" w:hAnsi="Titillium Web"/>
        </w:rPr>
        <w:t>Corrado Govoni</w:t>
      </w:r>
      <w:r w:rsidR="00666DA8">
        <w:rPr>
          <w:rFonts w:ascii="Titillium Web" w:hAnsi="Titillium Web"/>
        </w:rPr>
        <w:t>, nel ritratto realizzato da Melli nel</w:t>
      </w:r>
      <w:r w:rsidR="00666DA8" w:rsidRPr="00FA36A8">
        <w:rPr>
          <w:rFonts w:ascii="Titillium Web" w:hAnsi="Titillium Web"/>
        </w:rPr>
        <w:t xml:space="preserve"> 1957 (Fig. 8)</w:t>
      </w:r>
      <w:r w:rsidRPr="00FA36A8">
        <w:rPr>
          <w:rFonts w:ascii="Titillium Web" w:hAnsi="Titillium Web"/>
        </w:rPr>
        <w:t>, è resa con notevole sin</w:t>
      </w:r>
      <w:r w:rsidR="00BA03AD" w:rsidRPr="00FA36A8">
        <w:rPr>
          <w:rFonts w:ascii="Titillium Web" w:hAnsi="Titillium Web"/>
        </w:rPr>
        <w:t>tesi pittorica e con una sensibile introspezione psicologica.</w:t>
      </w:r>
      <w:r w:rsidRPr="00FA36A8">
        <w:rPr>
          <w:rFonts w:ascii="Titillium Web" w:hAnsi="Titillium Web"/>
          <w:color w:val="000000"/>
          <w:shd w:val="clear" w:color="auto" w:fill="FFFFFF"/>
        </w:rPr>
        <w:t xml:space="preserve"> </w:t>
      </w:r>
    </w:p>
    <w:p w14:paraId="58B8E194" w14:textId="77777777" w:rsidR="00BA03AD" w:rsidRDefault="00B04A42" w:rsidP="00FA36A8">
      <w:pPr>
        <w:jc w:val="both"/>
        <w:rPr>
          <w:rFonts w:ascii="Titillium Web" w:hAnsi="Titillium Web"/>
          <w:color w:val="000000"/>
          <w:shd w:val="clear" w:color="auto" w:fill="FFFFFF"/>
        </w:rPr>
      </w:pPr>
      <w:r w:rsidRPr="00666DA8">
        <w:rPr>
          <w:rFonts w:ascii="Titillium Web" w:hAnsi="Titillium Web"/>
          <w:i/>
          <w:color w:val="000000"/>
          <w:shd w:val="clear" w:color="auto" w:fill="FFFFFF"/>
        </w:rPr>
        <w:t>Spazzino al Testaccio</w:t>
      </w:r>
      <w:r w:rsidRPr="00FA36A8">
        <w:rPr>
          <w:rFonts w:ascii="Titillium Web" w:hAnsi="Titillium Web"/>
          <w:color w:val="000000"/>
          <w:shd w:val="clear" w:color="auto" w:fill="FFFFFF"/>
        </w:rPr>
        <w:t xml:space="preserve"> </w:t>
      </w:r>
      <w:r w:rsidR="007B59EE" w:rsidRPr="00FA36A8">
        <w:rPr>
          <w:rFonts w:ascii="Titillium Web" w:hAnsi="Titillium Web"/>
          <w:color w:val="000000"/>
          <w:shd w:val="clear" w:color="auto" w:fill="FFFFFF"/>
        </w:rPr>
        <w:t>(F</w:t>
      </w:r>
      <w:r w:rsidR="00584B35" w:rsidRPr="00FA36A8">
        <w:rPr>
          <w:rFonts w:ascii="Titillium Web" w:hAnsi="Titillium Web"/>
          <w:color w:val="000000"/>
          <w:shd w:val="clear" w:color="auto" w:fill="FFFFFF"/>
        </w:rPr>
        <w:t>ig</w:t>
      </w:r>
      <w:r w:rsidRPr="00FA36A8">
        <w:rPr>
          <w:rFonts w:ascii="Titillium Web" w:hAnsi="Titillium Web"/>
          <w:color w:val="000000"/>
          <w:shd w:val="clear" w:color="auto" w:fill="FFFFFF"/>
        </w:rPr>
        <w:t>. 9)</w:t>
      </w:r>
      <w:r w:rsidR="00666DA8">
        <w:rPr>
          <w:rFonts w:ascii="Titillium Web" w:hAnsi="Titillium Web"/>
          <w:color w:val="000000"/>
          <w:shd w:val="clear" w:color="auto" w:fill="FFFFFF"/>
        </w:rPr>
        <w:t>, che mostra uno scorcio del quartiere ripreso dalla finestra del suo studio,</w:t>
      </w:r>
      <w:r w:rsidRPr="00FA36A8">
        <w:rPr>
          <w:rFonts w:ascii="Titillium Web" w:hAnsi="Titillium Web"/>
          <w:color w:val="000000"/>
          <w:shd w:val="clear" w:color="auto" w:fill="FFFFFF"/>
        </w:rPr>
        <w:t xml:space="preserve"> risale alla fase dell’oppressione fascista, quando </w:t>
      </w:r>
      <w:r w:rsidR="00666DA8">
        <w:rPr>
          <w:rFonts w:ascii="Titillium Web" w:hAnsi="Titillium Web"/>
          <w:color w:val="000000"/>
          <w:shd w:val="clear" w:color="auto" w:fill="FFFFFF"/>
        </w:rPr>
        <w:t xml:space="preserve">Melli </w:t>
      </w:r>
      <w:r w:rsidRPr="00FA36A8">
        <w:rPr>
          <w:rFonts w:ascii="Titillium Web" w:hAnsi="Titillium Web"/>
          <w:color w:val="000000"/>
          <w:shd w:val="clear" w:color="auto" w:fill="FFFFFF"/>
        </w:rPr>
        <w:t>viene escluso dalla vita pubblica</w:t>
      </w:r>
      <w:r w:rsidR="00BA03AD" w:rsidRPr="00FA36A8">
        <w:rPr>
          <w:rFonts w:ascii="Titillium Web" w:hAnsi="Titillium Web"/>
          <w:color w:val="000000"/>
          <w:shd w:val="clear" w:color="auto" w:fill="FFFFFF"/>
        </w:rPr>
        <w:t xml:space="preserve"> a causa delle sue origini ebraiche. È</w:t>
      </w:r>
      <w:r w:rsidRPr="00FA36A8">
        <w:rPr>
          <w:rFonts w:ascii="Titillium Web" w:hAnsi="Titillium Web"/>
          <w:color w:val="000000"/>
          <w:shd w:val="clear" w:color="auto" w:fill="FFFFFF"/>
        </w:rPr>
        <w:t xml:space="preserve"> il periodo in cui </w:t>
      </w:r>
      <w:r w:rsidR="00666DA8">
        <w:rPr>
          <w:rFonts w:ascii="Titillium Web" w:hAnsi="Titillium Web"/>
          <w:color w:val="000000"/>
          <w:shd w:val="clear" w:color="auto" w:fill="FFFFFF"/>
        </w:rPr>
        <w:t>l’artista</w:t>
      </w:r>
      <w:r w:rsidRPr="00FA36A8">
        <w:rPr>
          <w:rFonts w:ascii="Titillium Web" w:hAnsi="Titillium Web"/>
          <w:color w:val="000000"/>
          <w:shd w:val="clear" w:color="auto" w:fill="FFFFFF"/>
        </w:rPr>
        <w:t xml:space="preserve"> si rifugia nelle “quiete stanze” della casa romana e continua a creare bellissimi ritratti dell’adorata moglie </w:t>
      </w:r>
      <w:proofErr w:type="spellStart"/>
      <w:r w:rsidRPr="00FA36A8">
        <w:rPr>
          <w:rFonts w:ascii="Titillium Web" w:hAnsi="Titillium Web"/>
          <w:color w:val="000000"/>
          <w:shd w:val="clear" w:color="auto" w:fill="FFFFFF"/>
        </w:rPr>
        <w:t>Baba</w:t>
      </w:r>
      <w:proofErr w:type="spellEnd"/>
      <w:r w:rsidRPr="00FA36A8">
        <w:rPr>
          <w:rFonts w:ascii="Titillium Web" w:hAnsi="Titillium Web"/>
          <w:color w:val="000000"/>
          <w:shd w:val="clear" w:color="auto" w:fill="FFFFFF"/>
        </w:rPr>
        <w:t xml:space="preserve">, degli amici stretti, degli angoli urbani e paesaggistici della capitale. </w:t>
      </w:r>
    </w:p>
    <w:p w14:paraId="47B2DC95" w14:textId="77777777" w:rsidR="00666DA8" w:rsidRPr="00FA36A8" w:rsidRDefault="00666DA8" w:rsidP="00FA36A8">
      <w:pPr>
        <w:jc w:val="both"/>
        <w:rPr>
          <w:rFonts w:ascii="Titillium Web" w:hAnsi="Titillium Web"/>
        </w:rPr>
      </w:pPr>
    </w:p>
    <w:p w14:paraId="33C51699" w14:textId="77777777" w:rsidR="00B04A42" w:rsidRPr="00FA36A8" w:rsidRDefault="00BB7D00" w:rsidP="00FA36A8">
      <w:pPr>
        <w:pStyle w:val="Testonotaapidipagina"/>
        <w:spacing w:line="276" w:lineRule="auto"/>
        <w:jc w:val="both"/>
        <w:rPr>
          <w:rFonts w:ascii="Titillium Web" w:hAnsi="Titillium Web" w:cs="Garamond"/>
          <w:sz w:val="24"/>
          <w:szCs w:val="24"/>
        </w:rPr>
      </w:pPr>
      <w:r w:rsidRPr="00FA36A8">
        <w:rPr>
          <w:rFonts w:ascii="Titillium Web" w:hAnsi="Titillium Web"/>
          <w:noProof/>
          <w:lang w:eastAsia="it-IT" w:bidi="ar-SA"/>
        </w:rPr>
        <w:drawing>
          <wp:inline distT="0" distB="0" distL="0" distR="0" wp14:anchorId="6412AE26" wp14:editId="3BAFDB45">
            <wp:extent cx="999490" cy="1312461"/>
            <wp:effectExtent l="25400" t="0" r="0" b="0"/>
            <wp:docPr id="19" name="Immagine 19" descr="Melli ritratto di Govoni, gal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Melli ritratto di Govoni, gall"/>
                    <pic:cNvPicPr>
                      <a:picLocks noChangeAspect="1" noChangeArrowheads="1"/>
                    </pic:cNvPicPr>
                  </pic:nvPicPr>
                  <pic:blipFill>
                    <a:blip r:embed="rId13"/>
                    <a:srcRect/>
                    <a:stretch>
                      <a:fillRect/>
                    </a:stretch>
                  </pic:blipFill>
                  <pic:spPr bwMode="auto">
                    <a:xfrm>
                      <a:off x="0" y="0"/>
                      <a:ext cx="998048" cy="1310567"/>
                    </a:xfrm>
                    <a:prstGeom prst="rect">
                      <a:avLst/>
                    </a:prstGeom>
                    <a:noFill/>
                    <a:ln w="9525">
                      <a:noFill/>
                      <a:miter lim="800000"/>
                      <a:headEnd/>
                      <a:tailEnd/>
                    </a:ln>
                  </pic:spPr>
                </pic:pic>
              </a:graphicData>
            </a:graphic>
          </wp:inline>
        </w:drawing>
      </w:r>
      <w:r w:rsidR="00984B43" w:rsidRPr="00FA36A8">
        <w:rPr>
          <w:rFonts w:ascii="Titillium Web" w:hAnsi="Titillium Web" w:cs="Garamond"/>
          <w:sz w:val="24"/>
          <w:szCs w:val="24"/>
        </w:rPr>
        <w:t xml:space="preserve"> Fig</w:t>
      </w:r>
      <w:r w:rsidRPr="00FA36A8">
        <w:rPr>
          <w:rFonts w:ascii="Titillium Web" w:hAnsi="Titillium Web" w:cs="Garamond"/>
          <w:sz w:val="24"/>
          <w:szCs w:val="24"/>
        </w:rPr>
        <w:t xml:space="preserve">. 8     </w:t>
      </w:r>
      <w:r w:rsidRPr="00FA36A8">
        <w:rPr>
          <w:rFonts w:ascii="Titillium Web" w:hAnsi="Titillium Web"/>
          <w:noProof/>
          <w:lang w:eastAsia="it-IT" w:bidi="ar-SA"/>
        </w:rPr>
        <w:drawing>
          <wp:inline distT="0" distB="0" distL="0" distR="0" wp14:anchorId="647BBC62" wp14:editId="79F6DF07">
            <wp:extent cx="1358414" cy="1126490"/>
            <wp:effectExtent l="25400" t="0" r="0" b="0"/>
            <wp:docPr id="22" name="Immagine 22" descr="Melli spazzino 80x100 1940, acquisito 20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Melli spazzino 80x100 1940, acquisito 2017"/>
                    <pic:cNvPicPr>
                      <a:picLocks noChangeAspect="1" noChangeArrowheads="1"/>
                    </pic:cNvPicPr>
                  </pic:nvPicPr>
                  <pic:blipFill>
                    <a:blip r:embed="rId14">
                      <a:lum contrast="20000"/>
                    </a:blip>
                    <a:srcRect/>
                    <a:stretch>
                      <a:fillRect/>
                    </a:stretch>
                  </pic:blipFill>
                  <pic:spPr bwMode="auto">
                    <a:xfrm>
                      <a:off x="0" y="0"/>
                      <a:ext cx="1358414" cy="1126490"/>
                    </a:xfrm>
                    <a:prstGeom prst="rect">
                      <a:avLst/>
                    </a:prstGeom>
                    <a:noFill/>
                    <a:ln w="9525">
                      <a:noFill/>
                      <a:miter lim="800000"/>
                      <a:headEnd/>
                      <a:tailEnd/>
                    </a:ln>
                  </pic:spPr>
                </pic:pic>
              </a:graphicData>
            </a:graphic>
          </wp:inline>
        </w:drawing>
      </w:r>
      <w:r w:rsidR="00984B43" w:rsidRPr="00FA36A8">
        <w:rPr>
          <w:rFonts w:ascii="Titillium Web" w:hAnsi="Titillium Web" w:cs="Garamond"/>
          <w:sz w:val="24"/>
          <w:szCs w:val="24"/>
        </w:rPr>
        <w:t xml:space="preserve"> Fig</w:t>
      </w:r>
      <w:r w:rsidRPr="00FA36A8">
        <w:rPr>
          <w:rFonts w:ascii="Titillium Web" w:hAnsi="Titillium Web" w:cs="Garamond"/>
          <w:sz w:val="24"/>
          <w:szCs w:val="24"/>
        </w:rPr>
        <w:t>. 9</w:t>
      </w:r>
    </w:p>
    <w:p w14:paraId="2B00B696" w14:textId="77777777" w:rsidR="00B04A42" w:rsidRPr="00FA36A8" w:rsidRDefault="00B04A42" w:rsidP="00FA36A8">
      <w:pPr>
        <w:spacing w:line="276" w:lineRule="auto"/>
        <w:jc w:val="both"/>
        <w:outlineLvl w:val="0"/>
        <w:rPr>
          <w:rFonts w:ascii="Titillium Web" w:hAnsi="Titillium Web"/>
          <w:b/>
        </w:rPr>
      </w:pPr>
      <w:r w:rsidRPr="00FA36A8">
        <w:rPr>
          <w:rFonts w:ascii="Titillium Web" w:hAnsi="Titillium Web"/>
          <w:b/>
        </w:rPr>
        <w:lastRenderedPageBreak/>
        <w:t>ACHILLE FUNI</w:t>
      </w:r>
    </w:p>
    <w:p w14:paraId="55696B83" w14:textId="77777777" w:rsidR="00B04A42" w:rsidRPr="00FA36A8" w:rsidRDefault="00B04A42" w:rsidP="00FA36A8">
      <w:pPr>
        <w:autoSpaceDE w:val="0"/>
        <w:autoSpaceDN w:val="0"/>
        <w:adjustRightInd w:val="0"/>
        <w:jc w:val="both"/>
        <w:rPr>
          <w:rFonts w:ascii="Titillium Web" w:hAnsi="Titillium Web" w:cs="Arial"/>
        </w:rPr>
      </w:pPr>
      <w:r w:rsidRPr="00FA36A8">
        <w:rPr>
          <w:rFonts w:ascii="Titillium Web" w:hAnsi="Titillium Web" w:cs="Arial"/>
        </w:rPr>
        <w:t>La sorella di Funi, Margherita, già proposta nel ritratto del 1921, ritorna all’interno dell’op</w:t>
      </w:r>
      <w:r w:rsidR="00427B0B" w:rsidRPr="00FA36A8">
        <w:rPr>
          <w:rFonts w:ascii="Titillium Web" w:hAnsi="Titillium Web" w:cs="Arial"/>
        </w:rPr>
        <w:t xml:space="preserve">era del pittore anche nelle </w:t>
      </w:r>
      <w:r w:rsidR="00427B0B" w:rsidRPr="00666DA8">
        <w:rPr>
          <w:rFonts w:ascii="Titillium Web" w:hAnsi="Titillium Web" w:cs="Arial"/>
          <w:i/>
        </w:rPr>
        <w:t>T</w:t>
      </w:r>
      <w:r w:rsidRPr="00666DA8">
        <w:rPr>
          <w:rFonts w:ascii="Titillium Web" w:hAnsi="Titillium Web" w:cs="Arial"/>
          <w:i/>
        </w:rPr>
        <w:t>re età</w:t>
      </w:r>
      <w:r w:rsidR="00584B35" w:rsidRPr="00FA36A8">
        <w:rPr>
          <w:rFonts w:ascii="Titillium Web" w:hAnsi="Titillium Web" w:cs="Arial"/>
        </w:rPr>
        <w:t xml:space="preserve"> (Fig</w:t>
      </w:r>
      <w:r w:rsidRPr="00FA36A8">
        <w:rPr>
          <w:rFonts w:ascii="Titillium Web" w:hAnsi="Titillium Web" w:cs="Arial"/>
        </w:rPr>
        <w:t>. 10),</w:t>
      </w:r>
      <w:r w:rsidR="00427B0B" w:rsidRPr="00FA36A8">
        <w:rPr>
          <w:rFonts w:ascii="Titillium Web" w:hAnsi="Titillium Web" w:cs="Arial"/>
        </w:rPr>
        <w:t xml:space="preserve"> tela</w:t>
      </w:r>
      <w:r w:rsidRPr="00FA36A8">
        <w:rPr>
          <w:rFonts w:ascii="Titillium Web" w:hAnsi="Titillium Web" w:cs="Arial"/>
        </w:rPr>
        <w:t xml:space="preserve"> eseguita all’incirca nel 1924.</w:t>
      </w:r>
      <w:r w:rsidR="00427B0B" w:rsidRPr="00FA36A8">
        <w:rPr>
          <w:rFonts w:ascii="Titillium Web" w:hAnsi="Titillium Web" w:cs="Arial"/>
        </w:rPr>
        <w:t xml:space="preserve"> La giovane donna, ispirata ai modelli leonardeschi</w:t>
      </w:r>
      <w:r w:rsidRPr="00FA36A8">
        <w:rPr>
          <w:rFonts w:ascii="Titillium Web" w:hAnsi="Titillium Web" w:cs="Arial"/>
        </w:rPr>
        <w:t xml:space="preserve">, abbraccia e sorregge amorevolmente l'anziana madre, resa con suggestiva oggettività. Alle loro spalle la figura del pittore, rivolta verso l'osservatore, con il suo apparente distacco rispetto alla scena principale contribuisce a creare un’atmosfera sospesa, da “realismo magico”. </w:t>
      </w:r>
    </w:p>
    <w:p w14:paraId="484E6452" w14:textId="77777777" w:rsidR="00B04A42" w:rsidRPr="00FA36A8" w:rsidRDefault="00B04A42" w:rsidP="00FA36A8">
      <w:pPr>
        <w:autoSpaceDE w:val="0"/>
        <w:autoSpaceDN w:val="0"/>
        <w:adjustRightInd w:val="0"/>
        <w:jc w:val="both"/>
        <w:rPr>
          <w:rFonts w:ascii="Titillium Web" w:hAnsi="Titillium Web" w:cs="Arial"/>
        </w:rPr>
      </w:pPr>
      <w:r w:rsidRPr="00FA36A8">
        <w:rPr>
          <w:rFonts w:ascii="Titillium Web" w:hAnsi="Titillium Web" w:cs="Arial"/>
        </w:rPr>
        <w:t>Il ritratto del pittore Mario Tozzi</w:t>
      </w:r>
      <w:r w:rsidR="00BA03AD" w:rsidRPr="00FA36A8">
        <w:rPr>
          <w:rFonts w:ascii="Titillium Web" w:hAnsi="Titillium Web" w:cs="Arial"/>
        </w:rPr>
        <w:t xml:space="preserve"> (</w:t>
      </w:r>
      <w:r w:rsidRPr="00FA36A8">
        <w:rPr>
          <w:rFonts w:ascii="Titillium Web" w:hAnsi="Titillium Web" w:cs="Arial"/>
        </w:rPr>
        <w:t>1927</w:t>
      </w:r>
      <w:r w:rsidR="00584B35" w:rsidRPr="00FA36A8">
        <w:rPr>
          <w:rFonts w:ascii="Titillium Web" w:hAnsi="Titillium Web" w:cs="Arial"/>
        </w:rPr>
        <w:t>; F</w:t>
      </w:r>
      <w:r w:rsidR="00BA03AD" w:rsidRPr="00FA36A8">
        <w:rPr>
          <w:rFonts w:ascii="Titillium Web" w:hAnsi="Titillium Web" w:cs="Arial"/>
        </w:rPr>
        <w:t>ig.</w:t>
      </w:r>
      <w:r w:rsidRPr="00FA36A8">
        <w:rPr>
          <w:rFonts w:ascii="Titillium Web" w:hAnsi="Titillium Web" w:cs="Arial"/>
        </w:rPr>
        <w:t xml:space="preserve"> 11)</w:t>
      </w:r>
      <w:r w:rsidR="007B59EE" w:rsidRPr="00FA36A8">
        <w:rPr>
          <w:rFonts w:ascii="Titillium Web" w:hAnsi="Titillium Web" w:cs="Arial"/>
        </w:rPr>
        <w:t xml:space="preserve">, </w:t>
      </w:r>
      <w:r w:rsidR="00BA03AD" w:rsidRPr="00FA36A8">
        <w:rPr>
          <w:rFonts w:ascii="Titillium Web" w:hAnsi="Titillium Web" w:cs="Arial"/>
        </w:rPr>
        <w:t xml:space="preserve">rinvia al cosmopolita </w:t>
      </w:r>
      <w:r w:rsidR="000D6C90" w:rsidRPr="00FA36A8">
        <w:rPr>
          <w:rFonts w:ascii="Titillium Web" w:hAnsi="Titillium Web" w:cs="Arial"/>
        </w:rPr>
        <w:t>clima parigino</w:t>
      </w:r>
      <w:r w:rsidR="00BA03AD" w:rsidRPr="00FA36A8">
        <w:rPr>
          <w:rFonts w:ascii="Titillium Web" w:hAnsi="Titillium Web" w:cs="Arial"/>
        </w:rPr>
        <w:t xml:space="preserve"> e al</w:t>
      </w:r>
      <w:r w:rsidR="007B59EE" w:rsidRPr="00FA36A8">
        <w:rPr>
          <w:rFonts w:ascii="Titillium Web" w:hAnsi="Titillium Web" w:cs="Arial"/>
        </w:rPr>
        <w:t>l’esperienza del</w:t>
      </w:r>
      <w:r w:rsidR="00BA03AD" w:rsidRPr="00FA36A8">
        <w:rPr>
          <w:rFonts w:ascii="Titillium Web" w:hAnsi="Titillium Web" w:cs="Arial"/>
        </w:rPr>
        <w:t xml:space="preserve"> gruppo </w:t>
      </w:r>
      <w:proofErr w:type="spellStart"/>
      <w:r w:rsidR="00BA03AD" w:rsidRPr="00FA36A8">
        <w:rPr>
          <w:rFonts w:ascii="Titillium Web" w:hAnsi="Titillium Web" w:cs="Arial"/>
        </w:rPr>
        <w:t>Les</w:t>
      </w:r>
      <w:proofErr w:type="spellEnd"/>
      <w:r w:rsidR="00BA03AD" w:rsidRPr="00FA36A8">
        <w:rPr>
          <w:rFonts w:ascii="Titillium Web" w:hAnsi="Titillium Web" w:cs="Arial"/>
        </w:rPr>
        <w:t xml:space="preserve"> </w:t>
      </w:r>
      <w:proofErr w:type="spellStart"/>
      <w:r w:rsidR="00BA03AD" w:rsidRPr="00FA36A8">
        <w:rPr>
          <w:rFonts w:ascii="Titillium Web" w:hAnsi="Titillium Web" w:cs="Arial"/>
        </w:rPr>
        <w:t>Italiens</w:t>
      </w:r>
      <w:proofErr w:type="spellEnd"/>
      <w:r w:rsidR="00BA03AD" w:rsidRPr="00FA36A8">
        <w:rPr>
          <w:rFonts w:ascii="Titillium Web" w:hAnsi="Titillium Web" w:cs="Arial"/>
        </w:rPr>
        <w:t xml:space="preserve"> de Paris, costituito nel 1928 dallo stesso Tozzi assieme a de Pisis, d</w:t>
      </w:r>
      <w:r w:rsidRPr="00FA36A8">
        <w:rPr>
          <w:rFonts w:ascii="Titillium Web" w:hAnsi="Titillium Web" w:cs="Arial"/>
        </w:rPr>
        <w:t xml:space="preserve">e Chirico, </w:t>
      </w:r>
      <w:proofErr w:type="spellStart"/>
      <w:r w:rsidRPr="00FA36A8">
        <w:rPr>
          <w:rFonts w:ascii="Titillium Web" w:hAnsi="Titillium Web" w:cs="Arial"/>
        </w:rPr>
        <w:t>Savini</w:t>
      </w:r>
      <w:r w:rsidR="00BA03AD" w:rsidRPr="00FA36A8">
        <w:rPr>
          <w:rFonts w:ascii="Titillium Web" w:hAnsi="Titillium Web" w:cs="Arial"/>
        </w:rPr>
        <w:t>o</w:t>
      </w:r>
      <w:proofErr w:type="spellEnd"/>
      <w:r w:rsidR="00BA03AD" w:rsidRPr="00FA36A8">
        <w:rPr>
          <w:rFonts w:ascii="Titillium Web" w:hAnsi="Titillium Web" w:cs="Arial"/>
        </w:rPr>
        <w:t xml:space="preserve">, </w:t>
      </w:r>
      <w:proofErr w:type="spellStart"/>
      <w:r w:rsidR="00BA03AD" w:rsidRPr="00FA36A8">
        <w:rPr>
          <w:rFonts w:ascii="Titillium Web" w:hAnsi="Titillium Web" w:cs="Arial"/>
        </w:rPr>
        <w:t>Campigli</w:t>
      </w:r>
      <w:proofErr w:type="spellEnd"/>
      <w:r w:rsidR="00BA03AD" w:rsidRPr="00FA36A8">
        <w:rPr>
          <w:rFonts w:ascii="Titillium Web" w:hAnsi="Titillium Web" w:cs="Arial"/>
        </w:rPr>
        <w:t xml:space="preserve">, </w:t>
      </w:r>
      <w:proofErr w:type="spellStart"/>
      <w:r w:rsidR="00BA03AD" w:rsidRPr="00FA36A8">
        <w:rPr>
          <w:rFonts w:ascii="Titillium Web" w:hAnsi="Titillium Web" w:cs="Arial"/>
        </w:rPr>
        <w:t>Paresce</w:t>
      </w:r>
      <w:proofErr w:type="spellEnd"/>
      <w:r w:rsidR="00BA03AD" w:rsidRPr="00FA36A8">
        <w:rPr>
          <w:rFonts w:ascii="Titillium Web" w:hAnsi="Titillium Web" w:cs="Arial"/>
        </w:rPr>
        <w:t xml:space="preserve"> e Severini.</w:t>
      </w:r>
      <w:r w:rsidRPr="00FA36A8">
        <w:rPr>
          <w:rFonts w:ascii="Titillium Web" w:hAnsi="Titillium Web" w:cs="Arial"/>
        </w:rPr>
        <w:t xml:space="preserve"> </w:t>
      </w:r>
      <w:r w:rsidR="00BA03AD" w:rsidRPr="00FA36A8">
        <w:rPr>
          <w:rFonts w:ascii="Titillium Web" w:hAnsi="Titillium Web" w:cs="Arial"/>
        </w:rPr>
        <w:t>L’obiettivo di questi artisti</w:t>
      </w:r>
      <w:r w:rsidR="00427B0B" w:rsidRPr="00FA36A8">
        <w:rPr>
          <w:rFonts w:ascii="Titillium Web" w:hAnsi="Titillium Web" w:cs="Arial"/>
        </w:rPr>
        <w:t xml:space="preserve"> è</w:t>
      </w:r>
      <w:r w:rsidRPr="00FA36A8">
        <w:rPr>
          <w:rFonts w:ascii="Titillium Web" w:hAnsi="Titillium Web" w:cs="Arial"/>
        </w:rPr>
        <w:t xml:space="preserve"> cambiare l’arte ispirandosi alla classicità italiana, senza igno</w:t>
      </w:r>
      <w:r w:rsidR="00427B0B" w:rsidRPr="00FA36A8">
        <w:rPr>
          <w:rFonts w:ascii="Titillium Web" w:hAnsi="Titillium Web" w:cs="Arial"/>
        </w:rPr>
        <w:t xml:space="preserve">rare le novità francesi. </w:t>
      </w:r>
      <w:r w:rsidR="000D6C90" w:rsidRPr="00FA36A8">
        <w:rPr>
          <w:rFonts w:ascii="Titillium Web" w:hAnsi="Titillium Web" w:cs="Arial"/>
        </w:rPr>
        <w:t xml:space="preserve">Tozzi condivide con Funi i temi e i valori formali </w:t>
      </w:r>
      <w:r w:rsidR="00427B0B" w:rsidRPr="00FA36A8">
        <w:rPr>
          <w:rFonts w:ascii="Titillium Web" w:hAnsi="Titillium Web" w:cs="Arial"/>
        </w:rPr>
        <w:t>del “ritorno all’ordine” e</w:t>
      </w:r>
      <w:r w:rsidRPr="00FA36A8">
        <w:rPr>
          <w:rFonts w:ascii="Titillium Web" w:hAnsi="Titillium Web" w:cs="Arial"/>
        </w:rPr>
        <w:t xml:space="preserve"> insieme partecipano alle grandi mostre di Novecento del 1926 e del 1929, presso la Permanente di Milano. </w:t>
      </w:r>
    </w:p>
    <w:p w14:paraId="026B6E91" w14:textId="77777777" w:rsidR="00B04A42" w:rsidRPr="00FA36A8" w:rsidRDefault="00666DA8" w:rsidP="00FA36A8">
      <w:pPr>
        <w:autoSpaceDE w:val="0"/>
        <w:autoSpaceDN w:val="0"/>
        <w:adjustRightInd w:val="0"/>
        <w:jc w:val="both"/>
        <w:rPr>
          <w:rFonts w:ascii="Titillium Web" w:hAnsi="Titillium Web" w:cs="Arial"/>
        </w:rPr>
      </w:pPr>
      <w:r>
        <w:rPr>
          <w:rFonts w:ascii="Titillium Web" w:hAnsi="Titillium Web" w:cs="Arial"/>
        </w:rPr>
        <w:t>I</w:t>
      </w:r>
      <w:r w:rsidR="00B04A42" w:rsidRPr="00FA36A8">
        <w:rPr>
          <w:rFonts w:ascii="Titillium Web" w:hAnsi="Titillium Web" w:cs="Arial"/>
        </w:rPr>
        <w:t xml:space="preserve">l cartone raffigurante </w:t>
      </w:r>
      <w:r w:rsidR="00B04A42" w:rsidRPr="00666DA8">
        <w:rPr>
          <w:rFonts w:ascii="Titillium Web" w:hAnsi="Titillium Web" w:cs="Arial"/>
          <w:i/>
        </w:rPr>
        <w:t>La morte di Clorinda</w:t>
      </w:r>
      <w:r w:rsidR="00584B35" w:rsidRPr="00FA36A8">
        <w:rPr>
          <w:rFonts w:ascii="Titillium Web" w:hAnsi="Titillium Web" w:cs="Arial"/>
        </w:rPr>
        <w:t xml:space="preserve"> (Fig</w:t>
      </w:r>
      <w:r w:rsidR="00984B43" w:rsidRPr="00FA36A8">
        <w:rPr>
          <w:rFonts w:ascii="Titillium Web" w:hAnsi="Titillium Web" w:cs="Arial"/>
        </w:rPr>
        <w:t>. 12) è</w:t>
      </w:r>
      <w:r w:rsidR="00B04A42" w:rsidRPr="00FA36A8">
        <w:rPr>
          <w:rFonts w:ascii="Titillium Web" w:hAnsi="Titillium Web" w:cs="Arial"/>
        </w:rPr>
        <w:t xml:space="preserve"> un significativo esempio del lavoro di Funi nel periodo post-bellico. Si tratta di uno studio preparatorio per gli affreschi realizzati nel 1952 in due sale della Banca Popolare di Bergamo. Funi affresca la Sala del Consiglio con scene tratte dalla Gerusalemme liberata, ripercorrendo alcuni temi, tra i quali Clorinda morente assistita da Tancredi, già affrontati nella sala municipale di Ferrara. </w:t>
      </w:r>
    </w:p>
    <w:p w14:paraId="6E7D5CCE" w14:textId="77777777" w:rsidR="00427B0B" w:rsidRPr="00FA36A8" w:rsidRDefault="00427B0B" w:rsidP="00FA36A8">
      <w:pPr>
        <w:autoSpaceDE w:val="0"/>
        <w:autoSpaceDN w:val="0"/>
        <w:adjustRightInd w:val="0"/>
        <w:jc w:val="both"/>
        <w:rPr>
          <w:rFonts w:ascii="Titillium Web" w:hAnsi="Titillium Web" w:cs="Arial"/>
        </w:rPr>
      </w:pPr>
    </w:p>
    <w:p w14:paraId="5A5E4A84" w14:textId="77777777" w:rsidR="00B04A42" w:rsidRPr="00FA36A8" w:rsidRDefault="00BB7D00" w:rsidP="00FA36A8">
      <w:pPr>
        <w:spacing w:line="276" w:lineRule="auto"/>
        <w:jc w:val="both"/>
        <w:rPr>
          <w:rFonts w:ascii="Titillium Web" w:eastAsia="Times New Roman" w:hAnsi="Titillium Web" w:cs="Garamond"/>
          <w:lang w:eastAsia="it-IT"/>
        </w:rPr>
      </w:pPr>
      <w:r w:rsidRPr="00FA36A8">
        <w:rPr>
          <w:rFonts w:ascii="Titillium Web" w:hAnsi="Titillium Web"/>
          <w:noProof/>
          <w:sz w:val="20"/>
          <w:lang w:eastAsia="it-IT" w:bidi="ar-SA"/>
        </w:rPr>
        <w:drawing>
          <wp:inline distT="0" distB="0" distL="0" distR="0" wp14:anchorId="0ED7112C" wp14:editId="6BBA81C0">
            <wp:extent cx="1250082" cy="1271822"/>
            <wp:effectExtent l="25400" t="0" r="0" b="0"/>
            <wp:docPr id="25" name="Immagine 25" descr="P11805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P1180584"/>
                    <pic:cNvPicPr>
                      <a:picLocks noChangeAspect="1" noChangeArrowheads="1"/>
                    </pic:cNvPicPr>
                  </pic:nvPicPr>
                  <pic:blipFill>
                    <a:blip r:embed="rId15"/>
                    <a:srcRect/>
                    <a:stretch>
                      <a:fillRect/>
                    </a:stretch>
                  </pic:blipFill>
                  <pic:spPr bwMode="auto">
                    <a:xfrm>
                      <a:off x="0" y="0"/>
                      <a:ext cx="1255374" cy="1277206"/>
                    </a:xfrm>
                    <a:prstGeom prst="rect">
                      <a:avLst/>
                    </a:prstGeom>
                    <a:noFill/>
                    <a:ln w="9525">
                      <a:noFill/>
                      <a:miter lim="800000"/>
                      <a:headEnd/>
                      <a:tailEnd/>
                    </a:ln>
                  </pic:spPr>
                </pic:pic>
              </a:graphicData>
            </a:graphic>
          </wp:inline>
        </w:drawing>
      </w:r>
      <w:r w:rsidR="00984B43" w:rsidRPr="00FA36A8">
        <w:rPr>
          <w:rFonts w:ascii="Titillium Web" w:eastAsia="Times New Roman" w:hAnsi="Titillium Web" w:cs="Garamond"/>
          <w:lang w:eastAsia="it-IT"/>
        </w:rPr>
        <w:t xml:space="preserve"> Fig</w:t>
      </w:r>
      <w:r w:rsidRPr="00FA36A8">
        <w:rPr>
          <w:rFonts w:ascii="Titillium Web" w:eastAsia="Times New Roman" w:hAnsi="Titillium Web" w:cs="Garamond"/>
          <w:lang w:eastAsia="it-IT"/>
        </w:rPr>
        <w:t xml:space="preserve">. 10        </w:t>
      </w:r>
      <w:r w:rsidRPr="00FA36A8">
        <w:rPr>
          <w:rFonts w:ascii="Titillium Web" w:hAnsi="Titillium Web"/>
          <w:noProof/>
          <w:sz w:val="20"/>
          <w:lang w:eastAsia="it-IT" w:bidi="ar-SA"/>
        </w:rPr>
        <w:drawing>
          <wp:inline distT="0" distB="0" distL="0" distR="0" wp14:anchorId="6D108880" wp14:editId="2E518A1E">
            <wp:extent cx="1088390" cy="1185375"/>
            <wp:effectExtent l="25400" t="0" r="3810" b="0"/>
            <wp:docPr id="28" name="Immagine 5" descr="Achille Funi in asta Farsetti novembre 20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magine 5" descr="Achille Funi in asta Farsetti novembre 2016"/>
                    <pic:cNvPicPr>
                      <a:picLocks noChangeAspect="1" noChangeArrowheads="1"/>
                    </pic:cNvPicPr>
                  </pic:nvPicPr>
                  <pic:blipFill>
                    <a:blip r:embed="rId16">
                      <a:lum bright="20000"/>
                    </a:blip>
                    <a:srcRect/>
                    <a:stretch>
                      <a:fillRect/>
                    </a:stretch>
                  </pic:blipFill>
                  <pic:spPr bwMode="auto">
                    <a:xfrm>
                      <a:off x="0" y="0"/>
                      <a:ext cx="1090773" cy="1187970"/>
                    </a:xfrm>
                    <a:prstGeom prst="rect">
                      <a:avLst/>
                    </a:prstGeom>
                    <a:noFill/>
                    <a:ln w="9525">
                      <a:noFill/>
                      <a:miter lim="800000"/>
                      <a:headEnd/>
                      <a:tailEnd/>
                    </a:ln>
                  </pic:spPr>
                </pic:pic>
              </a:graphicData>
            </a:graphic>
          </wp:inline>
        </w:drawing>
      </w:r>
      <w:r w:rsidR="00984B43" w:rsidRPr="00FA36A8">
        <w:rPr>
          <w:rFonts w:ascii="Titillium Web" w:eastAsia="Times New Roman" w:hAnsi="Titillium Web" w:cs="Garamond"/>
          <w:lang w:eastAsia="it-IT"/>
        </w:rPr>
        <w:t xml:space="preserve"> Fig</w:t>
      </w:r>
      <w:r w:rsidRPr="00FA36A8">
        <w:rPr>
          <w:rFonts w:ascii="Titillium Web" w:eastAsia="Times New Roman" w:hAnsi="Titillium Web" w:cs="Garamond"/>
          <w:lang w:eastAsia="it-IT"/>
        </w:rPr>
        <w:t xml:space="preserve">. 11     </w:t>
      </w:r>
      <w:r w:rsidRPr="00FA36A8">
        <w:rPr>
          <w:rFonts w:ascii="Titillium Web" w:hAnsi="Titillium Web"/>
          <w:noProof/>
          <w:sz w:val="20"/>
          <w:lang w:eastAsia="it-IT" w:bidi="ar-SA"/>
        </w:rPr>
        <w:drawing>
          <wp:inline distT="0" distB="0" distL="0" distR="0" wp14:anchorId="092C5EDE" wp14:editId="06402672">
            <wp:extent cx="1443990" cy="1300615"/>
            <wp:effectExtent l="25400" t="0" r="3810" b="0"/>
            <wp:docPr id="31" name="Immagine 31" descr="funi_achille-morte_di_clorinda~OM263300~10460_20170122_818_7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funi_achille-morte_di_clorinda~OM263300~10460_20170122_818_712"/>
                    <pic:cNvPicPr>
                      <a:picLocks noChangeAspect="1" noChangeArrowheads="1"/>
                    </pic:cNvPicPr>
                  </pic:nvPicPr>
                  <pic:blipFill>
                    <a:blip r:embed="rId17">
                      <a:lum contrast="20000"/>
                    </a:blip>
                    <a:srcRect/>
                    <a:stretch>
                      <a:fillRect/>
                    </a:stretch>
                  </pic:blipFill>
                  <pic:spPr bwMode="auto">
                    <a:xfrm>
                      <a:off x="0" y="0"/>
                      <a:ext cx="1447790" cy="1304038"/>
                    </a:xfrm>
                    <a:prstGeom prst="rect">
                      <a:avLst/>
                    </a:prstGeom>
                    <a:noFill/>
                    <a:ln w="9525">
                      <a:noFill/>
                      <a:miter lim="800000"/>
                      <a:headEnd/>
                      <a:tailEnd/>
                    </a:ln>
                  </pic:spPr>
                </pic:pic>
              </a:graphicData>
            </a:graphic>
          </wp:inline>
        </w:drawing>
      </w:r>
      <w:r w:rsidR="00984B43" w:rsidRPr="00FA36A8">
        <w:rPr>
          <w:rFonts w:ascii="Titillium Web" w:eastAsia="Times New Roman" w:hAnsi="Titillium Web" w:cs="Garamond"/>
          <w:lang w:eastAsia="it-IT"/>
        </w:rPr>
        <w:t xml:space="preserve"> Fig</w:t>
      </w:r>
      <w:r w:rsidRPr="00FA36A8">
        <w:rPr>
          <w:rFonts w:ascii="Titillium Web" w:eastAsia="Times New Roman" w:hAnsi="Titillium Web" w:cs="Garamond"/>
          <w:lang w:eastAsia="it-IT"/>
        </w:rPr>
        <w:t>. 12</w:t>
      </w:r>
    </w:p>
    <w:p w14:paraId="6E5D8849" w14:textId="77777777" w:rsidR="00BB7D00" w:rsidRPr="00FA36A8" w:rsidRDefault="00BB7D00" w:rsidP="00FA36A8">
      <w:pPr>
        <w:spacing w:line="276" w:lineRule="auto"/>
        <w:jc w:val="both"/>
        <w:rPr>
          <w:rFonts w:ascii="Titillium Web" w:eastAsia="Times New Roman" w:hAnsi="Titillium Web" w:cs="Garamond"/>
          <w:lang w:eastAsia="it-IT"/>
        </w:rPr>
      </w:pPr>
    </w:p>
    <w:p w14:paraId="15424CA9" w14:textId="77777777" w:rsidR="00666DA8" w:rsidRDefault="00666DA8" w:rsidP="00FA36A8">
      <w:pPr>
        <w:spacing w:line="276" w:lineRule="auto"/>
        <w:jc w:val="both"/>
        <w:outlineLvl w:val="0"/>
        <w:rPr>
          <w:rFonts w:ascii="Titillium Web" w:eastAsia="Times New Roman" w:hAnsi="Titillium Web" w:cs="Garamond"/>
          <w:b/>
          <w:lang w:eastAsia="it-IT"/>
        </w:rPr>
      </w:pPr>
    </w:p>
    <w:p w14:paraId="2B83B7DA" w14:textId="77777777" w:rsidR="00666DA8" w:rsidRDefault="00666DA8" w:rsidP="00FA36A8">
      <w:pPr>
        <w:spacing w:line="276" w:lineRule="auto"/>
        <w:jc w:val="both"/>
        <w:outlineLvl w:val="0"/>
        <w:rPr>
          <w:rFonts w:ascii="Titillium Web" w:eastAsia="Times New Roman" w:hAnsi="Titillium Web" w:cs="Garamond"/>
          <w:b/>
          <w:lang w:eastAsia="it-IT"/>
        </w:rPr>
      </w:pPr>
    </w:p>
    <w:p w14:paraId="7730F278" w14:textId="77777777" w:rsidR="00666DA8" w:rsidRDefault="00666DA8" w:rsidP="00FA36A8">
      <w:pPr>
        <w:spacing w:line="276" w:lineRule="auto"/>
        <w:jc w:val="both"/>
        <w:outlineLvl w:val="0"/>
        <w:rPr>
          <w:rFonts w:ascii="Titillium Web" w:eastAsia="Times New Roman" w:hAnsi="Titillium Web" w:cs="Garamond"/>
          <w:b/>
          <w:lang w:eastAsia="it-IT"/>
        </w:rPr>
      </w:pPr>
    </w:p>
    <w:p w14:paraId="2BD2E25A" w14:textId="77777777" w:rsidR="00666DA8" w:rsidRDefault="00666DA8" w:rsidP="00FA36A8">
      <w:pPr>
        <w:spacing w:line="276" w:lineRule="auto"/>
        <w:jc w:val="both"/>
        <w:outlineLvl w:val="0"/>
        <w:rPr>
          <w:rFonts w:ascii="Titillium Web" w:eastAsia="Times New Roman" w:hAnsi="Titillium Web" w:cs="Garamond"/>
          <w:b/>
          <w:lang w:eastAsia="it-IT"/>
        </w:rPr>
      </w:pPr>
    </w:p>
    <w:p w14:paraId="54425ACE" w14:textId="77777777" w:rsidR="00666DA8" w:rsidRDefault="00666DA8" w:rsidP="00FA36A8">
      <w:pPr>
        <w:spacing w:line="276" w:lineRule="auto"/>
        <w:jc w:val="both"/>
        <w:outlineLvl w:val="0"/>
        <w:rPr>
          <w:rFonts w:ascii="Titillium Web" w:eastAsia="Times New Roman" w:hAnsi="Titillium Web" w:cs="Garamond"/>
          <w:b/>
          <w:lang w:eastAsia="it-IT"/>
        </w:rPr>
      </w:pPr>
    </w:p>
    <w:p w14:paraId="10A26EF3" w14:textId="77777777" w:rsidR="00666DA8" w:rsidRDefault="00666DA8" w:rsidP="00FA36A8">
      <w:pPr>
        <w:spacing w:line="276" w:lineRule="auto"/>
        <w:jc w:val="both"/>
        <w:outlineLvl w:val="0"/>
        <w:rPr>
          <w:rFonts w:ascii="Titillium Web" w:eastAsia="Times New Roman" w:hAnsi="Titillium Web" w:cs="Garamond"/>
          <w:b/>
          <w:lang w:eastAsia="it-IT"/>
        </w:rPr>
      </w:pPr>
    </w:p>
    <w:p w14:paraId="42871926" w14:textId="77777777" w:rsidR="00666DA8" w:rsidRDefault="00666DA8" w:rsidP="00FA36A8">
      <w:pPr>
        <w:spacing w:line="276" w:lineRule="auto"/>
        <w:jc w:val="both"/>
        <w:outlineLvl w:val="0"/>
        <w:rPr>
          <w:rFonts w:ascii="Titillium Web" w:eastAsia="Times New Roman" w:hAnsi="Titillium Web" w:cs="Garamond"/>
          <w:b/>
          <w:lang w:eastAsia="it-IT"/>
        </w:rPr>
      </w:pPr>
    </w:p>
    <w:p w14:paraId="53DC9B79" w14:textId="77777777" w:rsidR="00666DA8" w:rsidRDefault="00666DA8" w:rsidP="00FA36A8">
      <w:pPr>
        <w:spacing w:line="276" w:lineRule="auto"/>
        <w:jc w:val="both"/>
        <w:outlineLvl w:val="0"/>
        <w:rPr>
          <w:rFonts w:ascii="Titillium Web" w:eastAsia="Times New Roman" w:hAnsi="Titillium Web" w:cs="Garamond"/>
          <w:b/>
          <w:lang w:eastAsia="it-IT"/>
        </w:rPr>
      </w:pPr>
    </w:p>
    <w:p w14:paraId="51455489" w14:textId="77777777" w:rsidR="00666DA8" w:rsidRDefault="00666DA8" w:rsidP="00FA36A8">
      <w:pPr>
        <w:spacing w:line="276" w:lineRule="auto"/>
        <w:jc w:val="both"/>
        <w:outlineLvl w:val="0"/>
        <w:rPr>
          <w:rFonts w:ascii="Titillium Web" w:eastAsia="Times New Roman" w:hAnsi="Titillium Web" w:cs="Garamond"/>
          <w:b/>
          <w:lang w:eastAsia="it-IT"/>
        </w:rPr>
      </w:pPr>
    </w:p>
    <w:p w14:paraId="6BC8F4F7" w14:textId="77777777" w:rsidR="00666DA8" w:rsidRDefault="00666DA8" w:rsidP="00FA36A8">
      <w:pPr>
        <w:spacing w:line="276" w:lineRule="auto"/>
        <w:jc w:val="both"/>
        <w:outlineLvl w:val="0"/>
        <w:rPr>
          <w:rFonts w:ascii="Titillium Web" w:eastAsia="Times New Roman" w:hAnsi="Titillium Web" w:cs="Garamond"/>
          <w:b/>
          <w:lang w:eastAsia="it-IT"/>
        </w:rPr>
      </w:pPr>
    </w:p>
    <w:p w14:paraId="176AA8D6" w14:textId="77777777" w:rsidR="00666DA8" w:rsidRDefault="00666DA8" w:rsidP="00FA36A8">
      <w:pPr>
        <w:spacing w:line="276" w:lineRule="auto"/>
        <w:jc w:val="both"/>
        <w:outlineLvl w:val="0"/>
        <w:rPr>
          <w:rFonts w:ascii="Titillium Web" w:eastAsia="Times New Roman" w:hAnsi="Titillium Web" w:cs="Garamond"/>
          <w:b/>
          <w:lang w:eastAsia="it-IT"/>
        </w:rPr>
      </w:pPr>
    </w:p>
    <w:p w14:paraId="71DBCC04" w14:textId="77777777" w:rsidR="00B04A42" w:rsidRPr="00FA36A8" w:rsidRDefault="00B04A42" w:rsidP="00FA36A8">
      <w:pPr>
        <w:spacing w:line="276" w:lineRule="auto"/>
        <w:jc w:val="both"/>
        <w:outlineLvl w:val="0"/>
        <w:rPr>
          <w:rFonts w:ascii="Titillium Web" w:eastAsia="Times New Roman" w:hAnsi="Titillium Web" w:cs="Garamond"/>
          <w:b/>
          <w:lang w:eastAsia="it-IT"/>
        </w:rPr>
      </w:pPr>
      <w:r w:rsidRPr="00FA36A8">
        <w:rPr>
          <w:rFonts w:ascii="Titillium Web" w:eastAsia="Times New Roman" w:hAnsi="Titillium Web" w:cs="Garamond"/>
          <w:b/>
          <w:lang w:eastAsia="it-IT"/>
        </w:rPr>
        <w:lastRenderedPageBreak/>
        <w:t>NOEL QUINTAVALLE (NOELQUI)</w:t>
      </w:r>
    </w:p>
    <w:p w14:paraId="182EB116" w14:textId="77777777" w:rsidR="00B04A42" w:rsidRPr="00FA36A8" w:rsidRDefault="00B04A42" w:rsidP="00FA36A8">
      <w:pPr>
        <w:spacing w:line="276" w:lineRule="auto"/>
        <w:jc w:val="both"/>
        <w:rPr>
          <w:rFonts w:ascii="Titillium Web" w:hAnsi="Titillium Web"/>
        </w:rPr>
      </w:pPr>
      <w:r w:rsidRPr="00FA36A8">
        <w:rPr>
          <w:rFonts w:ascii="Titillium Web" w:eastAsia="Calibri" w:hAnsi="Titillium Web" w:cs="Garamond"/>
          <w:lang w:eastAsia="en-US" w:bidi="ar-SA"/>
        </w:rPr>
        <w:t xml:space="preserve">Aperto e luminoso </w:t>
      </w:r>
      <w:r w:rsidRPr="00FA36A8">
        <w:rPr>
          <w:rFonts w:ascii="Titillium Web" w:eastAsia="Times New Roman" w:hAnsi="Titillium Web" w:cs="Garamond"/>
          <w:lang w:eastAsia="it-IT"/>
        </w:rPr>
        <w:t xml:space="preserve">è il paesaggio di </w:t>
      </w:r>
      <w:proofErr w:type="spellStart"/>
      <w:r w:rsidRPr="00FA36A8">
        <w:rPr>
          <w:rFonts w:ascii="Titillium Web" w:eastAsia="Times New Roman" w:hAnsi="Titillium Web" w:cs="Garamond"/>
          <w:lang w:eastAsia="it-IT"/>
        </w:rPr>
        <w:t>Noëlqui</w:t>
      </w:r>
      <w:proofErr w:type="spellEnd"/>
      <w:r w:rsidRPr="00FA36A8">
        <w:rPr>
          <w:rFonts w:ascii="Titillium Web" w:eastAsia="Times New Roman" w:hAnsi="Titillium Web" w:cs="Garamond"/>
          <w:lang w:eastAsia="it-IT"/>
        </w:rPr>
        <w:t xml:space="preserve">, pittore dall’esordio divisionista che sceglie di lavorare a Milano, mantenendo comunque i rapporti con la sua Ferrara. </w:t>
      </w:r>
      <w:r w:rsidRPr="00666DA8">
        <w:rPr>
          <w:rFonts w:ascii="Titillium Web" w:eastAsia="Times New Roman" w:hAnsi="Titillium Web" w:cs="Garamond"/>
          <w:i/>
          <w:lang w:eastAsia="it-IT"/>
        </w:rPr>
        <w:t>Mattino a Ca’ Barbaro</w:t>
      </w:r>
      <w:r w:rsidR="00584B35" w:rsidRPr="00FA36A8">
        <w:rPr>
          <w:rFonts w:ascii="Titillium Web" w:eastAsia="Times New Roman" w:hAnsi="Titillium Web" w:cs="Garamond"/>
          <w:lang w:eastAsia="it-IT"/>
        </w:rPr>
        <w:t xml:space="preserve"> del 1924 (Fig</w:t>
      </w:r>
      <w:r w:rsidRPr="00FA36A8">
        <w:rPr>
          <w:rFonts w:ascii="Titillium Web" w:eastAsia="Times New Roman" w:hAnsi="Titillium Web" w:cs="Garamond"/>
          <w:lang w:eastAsia="it-IT"/>
        </w:rPr>
        <w:t xml:space="preserve">. 13) raffigura con un’inquadratura a volo d’uccello il panorama collinare: un territorio rassicurante e ordinato, dove la natura presenta i segni dell’operosità dell’uomo. La descrizione precisa, la resa fisica degli elementi compositivi e la particolare trattazione della luce, con la netta divisione tra zone in ombra e aeree illuminate dal sole, fanno di questo paesaggio un pendant di Ca’ Barbaro-Nubi rotte (1924) della Galleria d’Arte Moderna di Milano. </w:t>
      </w:r>
    </w:p>
    <w:p w14:paraId="524C67BE" w14:textId="77777777" w:rsidR="00B04A42" w:rsidRPr="00FA36A8" w:rsidRDefault="00BB7D00" w:rsidP="00FA36A8">
      <w:pPr>
        <w:pStyle w:val="Testonotaapidipagina"/>
        <w:spacing w:line="276" w:lineRule="auto"/>
        <w:jc w:val="both"/>
        <w:rPr>
          <w:rFonts w:ascii="Titillium Web" w:hAnsi="Titillium Web" w:cs="Garamond"/>
          <w:sz w:val="24"/>
          <w:szCs w:val="24"/>
        </w:rPr>
      </w:pPr>
      <w:r w:rsidRPr="00FA36A8">
        <w:rPr>
          <w:rFonts w:ascii="Titillium Web" w:hAnsi="Titillium Web" w:cs="Garamond"/>
          <w:noProof/>
          <w:sz w:val="24"/>
          <w:szCs w:val="24"/>
          <w:lang w:eastAsia="it-IT" w:bidi="ar-SA"/>
        </w:rPr>
        <w:drawing>
          <wp:inline distT="0" distB="0" distL="0" distR="0" wp14:anchorId="660F94F1" wp14:editId="7ED1BDDC">
            <wp:extent cx="1611630" cy="1095375"/>
            <wp:effectExtent l="25400" t="0" r="0" b="0"/>
            <wp:docPr id="9" name="Immagin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8"/>
                    <a:srcRect/>
                    <a:stretch>
                      <a:fillRect/>
                    </a:stretch>
                  </pic:blipFill>
                  <pic:spPr bwMode="auto">
                    <a:xfrm>
                      <a:off x="0" y="0"/>
                      <a:ext cx="1611630" cy="1095375"/>
                    </a:xfrm>
                    <a:prstGeom prst="rect">
                      <a:avLst/>
                    </a:prstGeom>
                    <a:solidFill>
                      <a:srgbClr val="FFFFFF"/>
                    </a:solidFill>
                    <a:ln w="9525">
                      <a:noFill/>
                      <a:miter lim="800000"/>
                      <a:headEnd/>
                      <a:tailEnd/>
                    </a:ln>
                  </pic:spPr>
                </pic:pic>
              </a:graphicData>
            </a:graphic>
          </wp:inline>
        </w:drawing>
      </w:r>
      <w:r w:rsidR="00984B43" w:rsidRPr="00FA36A8">
        <w:rPr>
          <w:rFonts w:ascii="Titillium Web" w:hAnsi="Titillium Web" w:cs="Garamond"/>
          <w:sz w:val="24"/>
          <w:szCs w:val="24"/>
        </w:rPr>
        <w:t xml:space="preserve"> Fig</w:t>
      </w:r>
      <w:r w:rsidRPr="00FA36A8">
        <w:rPr>
          <w:rFonts w:ascii="Titillium Web" w:hAnsi="Titillium Web" w:cs="Garamond"/>
          <w:sz w:val="24"/>
          <w:szCs w:val="24"/>
        </w:rPr>
        <w:t>. 13</w:t>
      </w:r>
    </w:p>
    <w:p w14:paraId="5834BA31" w14:textId="77777777" w:rsidR="00D469FE" w:rsidRPr="00FA36A8" w:rsidRDefault="00D469FE" w:rsidP="00FA36A8">
      <w:pPr>
        <w:pStyle w:val="Testonotaapidipagina"/>
        <w:spacing w:line="276" w:lineRule="auto"/>
        <w:jc w:val="both"/>
        <w:rPr>
          <w:rFonts w:ascii="Titillium Web" w:hAnsi="Titillium Web" w:cs="Garamond"/>
          <w:sz w:val="24"/>
          <w:szCs w:val="24"/>
        </w:rPr>
      </w:pPr>
    </w:p>
    <w:p w14:paraId="79D7BF4A" w14:textId="77777777" w:rsidR="00BB2E61" w:rsidRPr="00FA36A8" w:rsidRDefault="00960C76" w:rsidP="00FA36A8">
      <w:pPr>
        <w:pStyle w:val="Testonotaapidipagina"/>
        <w:spacing w:line="276" w:lineRule="auto"/>
        <w:jc w:val="both"/>
        <w:outlineLvl w:val="0"/>
        <w:rPr>
          <w:rFonts w:ascii="Titillium Web" w:hAnsi="Titillium Web" w:cs="Garamond"/>
          <w:b/>
          <w:sz w:val="24"/>
          <w:szCs w:val="24"/>
        </w:rPr>
      </w:pPr>
      <w:r w:rsidRPr="00FA36A8">
        <w:rPr>
          <w:rFonts w:ascii="Titillium Web" w:hAnsi="Titillium Web" w:cs="Garamond"/>
          <w:b/>
          <w:sz w:val="24"/>
          <w:szCs w:val="24"/>
        </w:rPr>
        <w:t>FILIPP</w:t>
      </w:r>
      <w:r w:rsidR="007E4103" w:rsidRPr="00FA36A8">
        <w:rPr>
          <w:rFonts w:ascii="Titillium Web" w:hAnsi="Titillium Web" w:cs="Garamond"/>
          <w:b/>
          <w:sz w:val="24"/>
          <w:szCs w:val="24"/>
        </w:rPr>
        <w:t>O DE</w:t>
      </w:r>
      <w:r w:rsidRPr="00FA36A8">
        <w:rPr>
          <w:rFonts w:ascii="Titillium Web" w:hAnsi="Titillium Web" w:cs="Garamond"/>
          <w:b/>
          <w:sz w:val="24"/>
          <w:szCs w:val="24"/>
        </w:rPr>
        <w:t xml:space="preserve"> PISIS</w:t>
      </w:r>
    </w:p>
    <w:p w14:paraId="64D283C0" w14:textId="77777777" w:rsidR="00BB2E61" w:rsidRPr="00FA36A8" w:rsidRDefault="00960C76" w:rsidP="00FA36A8">
      <w:pPr>
        <w:spacing w:line="276" w:lineRule="auto"/>
        <w:jc w:val="both"/>
        <w:rPr>
          <w:rFonts w:ascii="Titillium Web" w:hAnsi="Titillium Web"/>
        </w:rPr>
      </w:pPr>
      <w:r w:rsidRPr="00FA36A8">
        <w:rPr>
          <w:rFonts w:ascii="Titillium Web" w:hAnsi="Titillium Web" w:cs="Garamond"/>
        </w:rPr>
        <w:t>Nel corso del Novecento, occorre registrare l’affermarsi di una visione soggettiva e raccolta del paesaggio, in coincidenza con profondi processi di trasformazione del territorio. Il paesaggio come rivelazione del “</w:t>
      </w:r>
      <w:r w:rsidRPr="00FA36A8">
        <w:rPr>
          <w:rFonts w:ascii="Titillium Web" w:eastAsia="Times New Roman" w:hAnsi="Titillium Web" w:cs="Garamond"/>
          <w:lang w:eastAsia="it-IT"/>
        </w:rPr>
        <w:t>personalissimo universo poetico”</w:t>
      </w:r>
      <w:r w:rsidRPr="00FA36A8">
        <w:rPr>
          <w:rFonts w:ascii="Titillium Web" w:hAnsi="Titillium Web" w:cs="Garamond"/>
        </w:rPr>
        <w:t xml:space="preserve"> ed espressione dei luoghi cari e famigliari è ben esemplificato da una giovanile prova pittorica di Filippo de Pisis. Siamo tra il 1918 e il 1919, il periodo che succede alla fulminante stagione metafisica a Ferrara. In questi anni lo scrittore de Pisis sta maturando il passaggio definitivo all’attività pittorica. L’olio su tavola </w:t>
      </w:r>
      <w:r w:rsidRPr="00666DA8">
        <w:rPr>
          <w:rFonts w:ascii="Titillium Web" w:hAnsi="Titillium Web" w:cs="Garamond"/>
          <w:i/>
        </w:rPr>
        <w:t>Campagna ferrarese</w:t>
      </w:r>
      <w:r w:rsidRPr="00FA36A8">
        <w:rPr>
          <w:rFonts w:ascii="Titillium Web" w:hAnsi="Titillium Web" w:cs="Garamond"/>
        </w:rPr>
        <w:t xml:space="preserve"> (</w:t>
      </w:r>
      <w:r w:rsidR="00584B35" w:rsidRPr="00FA36A8">
        <w:rPr>
          <w:rFonts w:ascii="Titillium Web" w:hAnsi="Titillium Web" w:cs="Garamond"/>
        </w:rPr>
        <w:t>Fig</w:t>
      </w:r>
      <w:r w:rsidR="00B04A42" w:rsidRPr="00FA36A8">
        <w:rPr>
          <w:rFonts w:ascii="Titillium Web" w:hAnsi="Titillium Web" w:cs="Garamond"/>
        </w:rPr>
        <w:t>. 14</w:t>
      </w:r>
      <w:r w:rsidRPr="00FA36A8">
        <w:rPr>
          <w:rFonts w:ascii="Titillium Web" w:hAnsi="Titillium Web" w:cs="Garamond"/>
        </w:rPr>
        <w:t>) richiama l’impostazione di uno schizzo veloce a china raffigurante Paesaggio alla Longara. In questa lo</w:t>
      </w:r>
      <w:r w:rsidR="00427B0B" w:rsidRPr="00FA36A8">
        <w:rPr>
          <w:rFonts w:ascii="Titillium Web" w:hAnsi="Titillium Web" w:cs="Garamond"/>
        </w:rPr>
        <w:t>calità della pianura bolognese d</w:t>
      </w:r>
      <w:r w:rsidRPr="00FA36A8">
        <w:rPr>
          <w:rFonts w:ascii="Titillium Web" w:hAnsi="Titillium Web" w:cs="Garamond"/>
        </w:rPr>
        <w:t>e Pisis soggiorna spesso per approfondire lo studio della botanica</w:t>
      </w:r>
      <w:r w:rsidR="00984B43" w:rsidRPr="00FA36A8">
        <w:rPr>
          <w:rFonts w:ascii="Titillium Web" w:hAnsi="Titillium Web" w:cs="Garamond"/>
        </w:rPr>
        <w:t xml:space="preserve"> e per trovare</w:t>
      </w:r>
      <w:r w:rsidR="0037155B" w:rsidRPr="00FA36A8">
        <w:rPr>
          <w:rFonts w:ascii="Titillium Web" w:hAnsi="Titillium Web" w:cs="Garamond"/>
        </w:rPr>
        <w:t>,</w:t>
      </w:r>
      <w:r w:rsidR="00984B43" w:rsidRPr="00FA36A8">
        <w:rPr>
          <w:rFonts w:ascii="Titillium Web" w:hAnsi="Titillium Web" w:cs="Garamond"/>
        </w:rPr>
        <w:t xml:space="preserve"> a diretto contatto con la natura</w:t>
      </w:r>
      <w:r w:rsidR="0037155B" w:rsidRPr="00FA36A8">
        <w:rPr>
          <w:rFonts w:ascii="Titillium Web" w:hAnsi="Titillium Web" w:cs="Garamond"/>
        </w:rPr>
        <w:t>,</w:t>
      </w:r>
      <w:r w:rsidR="00984B43" w:rsidRPr="00FA36A8">
        <w:rPr>
          <w:rFonts w:ascii="Titillium Web" w:hAnsi="Titillium Web" w:cs="Garamond"/>
        </w:rPr>
        <w:t xml:space="preserve"> l’ispirazione letteraria. </w:t>
      </w:r>
      <w:r w:rsidR="0037155B" w:rsidRPr="00FA36A8">
        <w:rPr>
          <w:rFonts w:ascii="Titillium Web" w:hAnsi="Titillium Web" w:cs="Garamond"/>
        </w:rPr>
        <w:t xml:space="preserve">A tal proposito si ricorda la famosa </w:t>
      </w:r>
      <w:r w:rsidRPr="00FA36A8">
        <w:rPr>
          <w:rFonts w:ascii="Titillium Web" w:hAnsi="Titillium Web" w:cs="Garamond"/>
        </w:rPr>
        <w:t xml:space="preserve">raccolta poetica </w:t>
      </w:r>
      <w:r w:rsidR="00984B43" w:rsidRPr="00FA36A8">
        <w:rPr>
          <w:rFonts w:ascii="Titillium Web" w:hAnsi="Titillium Web" w:cs="Garamond"/>
        </w:rPr>
        <w:t xml:space="preserve">I Canti della Croara del 1916 con la prefazione di </w:t>
      </w:r>
      <w:r w:rsidRPr="00FA36A8">
        <w:rPr>
          <w:rFonts w:ascii="Titillium Web" w:hAnsi="Titillium Web" w:cs="Garamond"/>
        </w:rPr>
        <w:t>Corrado Govoni</w:t>
      </w:r>
      <w:r w:rsidR="00984B43" w:rsidRPr="00FA36A8">
        <w:rPr>
          <w:rFonts w:ascii="Titillium Web" w:hAnsi="Titillium Web" w:cs="Garamond"/>
        </w:rPr>
        <w:t>.</w:t>
      </w:r>
      <w:r w:rsidRPr="00FA36A8">
        <w:rPr>
          <w:rFonts w:ascii="Titillium Web" w:eastAsia="Times New Roman" w:hAnsi="Titillium Web" w:cs="Garamond"/>
          <w:lang w:eastAsia="it-IT"/>
        </w:rPr>
        <w:t xml:space="preserve"> </w:t>
      </w:r>
    </w:p>
    <w:p w14:paraId="7B153EFA" w14:textId="77777777" w:rsidR="00960C76" w:rsidRPr="00FA36A8" w:rsidRDefault="00BB7D00" w:rsidP="00FA36A8">
      <w:pPr>
        <w:spacing w:line="276" w:lineRule="auto"/>
        <w:jc w:val="both"/>
        <w:rPr>
          <w:rFonts w:ascii="Titillium Web" w:hAnsi="Titillium Web"/>
        </w:rPr>
      </w:pPr>
      <w:r w:rsidRPr="00FA36A8">
        <w:rPr>
          <w:rFonts w:ascii="Titillium Web" w:hAnsi="Titillium Web"/>
          <w:noProof/>
          <w:sz w:val="20"/>
          <w:lang w:eastAsia="it-IT" w:bidi="ar-SA"/>
        </w:rPr>
        <w:drawing>
          <wp:inline distT="0" distB="0" distL="0" distR="0" wp14:anchorId="4F6D98BB" wp14:editId="3A8928DB">
            <wp:extent cx="1727200" cy="1346200"/>
            <wp:effectExtent l="25400" t="0" r="0" b="0"/>
            <wp:docPr id="34" name="Immagine 34" descr="De Pisis 21048_02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De Pisis 21048_0211"/>
                    <pic:cNvPicPr>
                      <a:picLocks noChangeAspect="1" noChangeArrowheads="1"/>
                    </pic:cNvPicPr>
                  </pic:nvPicPr>
                  <pic:blipFill>
                    <a:blip r:embed="rId19"/>
                    <a:srcRect/>
                    <a:stretch>
                      <a:fillRect/>
                    </a:stretch>
                  </pic:blipFill>
                  <pic:spPr bwMode="auto">
                    <a:xfrm>
                      <a:off x="0" y="0"/>
                      <a:ext cx="1727200" cy="1346200"/>
                    </a:xfrm>
                    <a:prstGeom prst="rect">
                      <a:avLst/>
                    </a:prstGeom>
                    <a:noFill/>
                    <a:ln w="9525">
                      <a:noFill/>
                      <a:miter lim="800000"/>
                      <a:headEnd/>
                      <a:tailEnd/>
                    </a:ln>
                  </pic:spPr>
                </pic:pic>
              </a:graphicData>
            </a:graphic>
          </wp:inline>
        </w:drawing>
      </w:r>
      <w:r w:rsidR="00584B35" w:rsidRPr="00FA36A8">
        <w:rPr>
          <w:rFonts w:ascii="Titillium Web" w:hAnsi="Titillium Web"/>
        </w:rPr>
        <w:t xml:space="preserve"> Fig</w:t>
      </w:r>
      <w:r w:rsidRPr="00FA36A8">
        <w:rPr>
          <w:rFonts w:ascii="Titillium Web" w:hAnsi="Titillium Web"/>
        </w:rPr>
        <w:t>. 14</w:t>
      </w:r>
    </w:p>
    <w:p w14:paraId="791E020A" w14:textId="77777777" w:rsidR="00BB2E61" w:rsidRPr="00FA36A8" w:rsidRDefault="00BB2E61" w:rsidP="00FA36A8">
      <w:pPr>
        <w:spacing w:line="276" w:lineRule="auto"/>
        <w:jc w:val="both"/>
        <w:rPr>
          <w:rFonts w:ascii="Titillium Web" w:hAnsi="Titillium Web" w:cs="Garamond"/>
        </w:rPr>
      </w:pPr>
    </w:p>
    <w:sectPr w:rsidR="00BB2E61" w:rsidRPr="00FA36A8" w:rsidSect="00BB2E61">
      <w:footerReference w:type="default" r:id="rId20"/>
      <w:pgSz w:w="11906" w:h="16838"/>
      <w:pgMar w:top="1134" w:right="1134" w:bottom="1134" w:left="1134" w:header="0" w:footer="0" w:gutter="0"/>
      <w:cols w:space="720"/>
      <w:formProt w:val="0"/>
    </w:sectPr>
  </w:body>
</w:document>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3E379911" w14:textId="77777777" w:rsidR="003F6C23" w:rsidRDefault="003F6C23" w:rsidP="00FA36A8">
      <w:r>
        <w:separator/>
      </w:r>
    </w:p>
  </w:endnote>
  <w:endnote w:type="continuationSeparator" w:id="0">
    <w:p w14:paraId="437CF01C" w14:textId="77777777" w:rsidR="003F6C23" w:rsidRDefault="003F6C23" w:rsidP="00FA36A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Liberation Serif">
    <w:altName w:val="Times New Roman"/>
    <w:charset w:val="01"/>
    <w:family w:val="roman"/>
    <w:pitch w:val="variable"/>
  </w:font>
  <w:font w:name="Noto Sans CJK SC Regular">
    <w:altName w:val="Calibri"/>
    <w:panose1 w:val="00000000000000000000"/>
    <w:charset w:val="4D"/>
    <w:family w:val="roman"/>
    <w:notTrueType/>
    <w:pitch w:val="default"/>
    <w:sig w:usb0="00000003" w:usb1="00000000" w:usb2="00000000" w:usb3="00000000" w:csb0="00000001" w:csb1="00000000"/>
  </w:font>
  <w:font w:name="FreeSans">
    <w:altName w:val="Calibri"/>
    <w:panose1 w:val="00000000000000000000"/>
    <w:charset w:val="4D"/>
    <w:family w:val="roman"/>
    <w:notTrueType/>
    <w:pitch w:val="default"/>
    <w:sig w:usb0="00000003" w:usb1="00000000" w:usb2="00000000" w:usb3="00000000" w:csb0="00000001" w:csb1="00000000"/>
  </w:font>
  <w:font w:name="Times New Roman">
    <w:panose1 w:val="02020603050405020304"/>
    <w:charset w:val="00"/>
    <w:family w:val="roman"/>
    <w:pitch w:val="variable"/>
    <w:sig w:usb0="E0002AEF" w:usb1="C0007841" w:usb2="00000009" w:usb3="00000000" w:csb0="000001FF" w:csb1="00000000"/>
  </w:font>
  <w:font w:name="Liberation Sans">
    <w:altName w:val="Arial"/>
    <w:charset w:val="01"/>
    <w:family w:val="swiss"/>
    <w:pitch w:val="variable"/>
  </w:font>
  <w:font w:name="Mangal">
    <w:panose1 w:val="02040503050203030202"/>
    <w:charset w:val="00"/>
    <w:family w:val="auto"/>
    <w:pitch w:val="variable"/>
    <w:sig w:usb0="00008003" w:usb1="00000000" w:usb2="00000000" w:usb3="00000000" w:csb0="00000001" w:csb1="00000000"/>
  </w:font>
  <w:font w:name="Titillium Web">
    <w:panose1 w:val="00000500000000000000"/>
    <w:charset w:val="00"/>
    <w:family w:val="auto"/>
    <w:pitch w:val="variable"/>
    <w:sig w:usb0="00000007" w:usb1="00000001" w:usb2="00000000" w:usb3="00000000" w:csb0="00000093" w:csb1="00000000"/>
  </w:font>
  <w:font w:name="Cambria">
    <w:panose1 w:val="02040503050406030204"/>
    <w:charset w:val="00"/>
    <w:family w:val="roman"/>
    <w:pitch w:val="variable"/>
    <w:sig w:usb0="E00002FF" w:usb1="400004FF" w:usb2="00000000" w:usb3="00000000" w:csb0="0000019F" w:csb1="00000000"/>
  </w:font>
  <w:font w:name="Garamond">
    <w:panose1 w:val="02020404030301010803"/>
    <w:charset w:val="00"/>
    <w:family w:val="roman"/>
    <w:pitch w:val="variable"/>
    <w:sig w:usb0="00000287" w:usb1="00000000" w:usb2="00000000" w:usb3="00000000" w:csb0="0000009F"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55DCC513" w14:textId="77777777" w:rsidR="00FA36A8" w:rsidRDefault="00ED1517" w:rsidP="00ED1517">
    <w:pPr>
      <w:pStyle w:val="Pidipagina"/>
      <w:tabs>
        <w:tab w:val="clear" w:pos="4819"/>
        <w:tab w:val="clear" w:pos="9638"/>
        <w:tab w:val="left" w:pos="2080"/>
      </w:tabs>
    </w:pPr>
    <w:r>
      <w:rPr>
        <w:noProof/>
        <w:lang w:eastAsia="it-IT" w:bidi="ar-SA"/>
      </w:rPr>
      <w:drawing>
        <wp:anchor distT="0" distB="0" distL="114300" distR="114300" simplePos="0" relativeHeight="251658240" behindDoc="0" locked="0" layoutInCell="1" allowOverlap="1" wp14:anchorId="4BFBC37C" wp14:editId="14873C26">
          <wp:simplePos x="0" y="0"/>
          <wp:positionH relativeFrom="margin">
            <wp:posOffset>1732915</wp:posOffset>
          </wp:positionH>
          <wp:positionV relativeFrom="margin">
            <wp:posOffset>9225280</wp:posOffset>
          </wp:positionV>
          <wp:extent cx="2555875" cy="403860"/>
          <wp:effectExtent l="0" t="0" r="0" b="0"/>
          <wp:wrapSquare wrapText="bothSides"/>
          <wp:docPr id="2" name="Immagine 2" descr="../../../MATERIALI%20VARI/LOGHI/AssicoopUnipolSaiDiv_MoF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TERIALI%20VARI/LOGHI/AssicoopUnipolSaiDiv_MoFe.jpg"/>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555875" cy="403860"/>
                  </a:xfrm>
                  <a:prstGeom prst="rect">
                    <a:avLst/>
                  </a:prstGeom>
                  <a:noFill/>
                  <a:ln>
                    <a:noFill/>
                  </a:ln>
                </pic:spPr>
              </pic:pic>
            </a:graphicData>
          </a:graphic>
        </wp:anchor>
      </w:drawing>
    </w:r>
    <w:r>
      <w:rPr>
        <w:noProof/>
        <w:lang w:eastAsia="it-IT" w:bidi="ar-SA"/>
      </w:rPr>
      <w:drawing>
        <wp:anchor distT="0" distB="0" distL="114300" distR="114300" simplePos="0" relativeHeight="251660288" behindDoc="0" locked="0" layoutInCell="1" allowOverlap="1" wp14:anchorId="231B37F3" wp14:editId="663E3D51">
          <wp:simplePos x="0" y="0"/>
          <wp:positionH relativeFrom="margin">
            <wp:posOffset>475304</wp:posOffset>
          </wp:positionH>
          <wp:positionV relativeFrom="margin">
            <wp:posOffset>9112885</wp:posOffset>
          </wp:positionV>
          <wp:extent cx="964565" cy="683895"/>
          <wp:effectExtent l="0" t="0" r="0" b="0"/>
          <wp:wrapSquare wrapText="bothSides"/>
          <wp:docPr id="4" name="Immagine 4" descr="../../../MATERIALI%20VARI/LOGHI/logocomunediferraraxpatrocini/logo_patrocini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MATERIALI%20VARI/LOGHI/logocomunediferraraxpatrocini/logo_patrocini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64565" cy="683895"/>
                  </a:xfrm>
                  <a:prstGeom prst="rect">
                    <a:avLst/>
                  </a:prstGeom>
                  <a:noFill/>
                  <a:ln>
                    <a:noFill/>
                  </a:ln>
                </pic:spPr>
              </pic:pic>
            </a:graphicData>
          </a:graphic>
        </wp:anchor>
      </w:drawing>
    </w:r>
    <w:r>
      <w:tab/>
    </w:r>
  </w:p>
  <w:p w14:paraId="1181429F" w14:textId="77777777" w:rsidR="00ED1517" w:rsidRDefault="00ED1517" w:rsidP="00ED1517">
    <w:pPr>
      <w:pStyle w:val="Pidipagina"/>
      <w:tabs>
        <w:tab w:val="clear" w:pos="4819"/>
        <w:tab w:val="clear" w:pos="9638"/>
        <w:tab w:val="left" w:pos="2080"/>
      </w:tabs>
    </w:pPr>
    <w:r>
      <w:rPr>
        <w:noProof/>
        <w:lang w:eastAsia="it-IT" w:bidi="ar-SA"/>
      </w:rPr>
      <w:drawing>
        <wp:anchor distT="0" distB="0" distL="114300" distR="114300" simplePos="0" relativeHeight="251659264" behindDoc="0" locked="0" layoutInCell="1" allowOverlap="1" wp14:anchorId="7CC336AC" wp14:editId="6815540D">
          <wp:simplePos x="0" y="0"/>
          <wp:positionH relativeFrom="margin">
            <wp:posOffset>4594549</wp:posOffset>
          </wp:positionH>
          <wp:positionV relativeFrom="margin">
            <wp:posOffset>9288145</wp:posOffset>
          </wp:positionV>
          <wp:extent cx="1138555" cy="295275"/>
          <wp:effectExtent l="0" t="0" r="0" b="0"/>
          <wp:wrapSquare wrapText="bothSides"/>
          <wp:docPr id="3" name="Immagine 3" descr="../../../Logo%20Legacoop%20Estens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Logo%20Legacoop%20Estense.jp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1138555" cy="29527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26E583A3" w14:textId="77777777" w:rsidR="00ED1517" w:rsidRDefault="00ED1517" w:rsidP="00ED1517">
    <w:pPr>
      <w:pStyle w:val="Pidipagina"/>
      <w:tabs>
        <w:tab w:val="clear" w:pos="4819"/>
        <w:tab w:val="clear" w:pos="9638"/>
        <w:tab w:val="left" w:pos="2080"/>
      </w:tabs>
    </w:pPr>
  </w:p>
  <w:p w14:paraId="4DF7CEB1" w14:textId="77777777" w:rsidR="00ED1517" w:rsidRDefault="00ED1517" w:rsidP="00ED1517">
    <w:pPr>
      <w:pStyle w:val="Pidipagina"/>
      <w:tabs>
        <w:tab w:val="clear" w:pos="4819"/>
        <w:tab w:val="clear" w:pos="9638"/>
        <w:tab w:val="left" w:pos="2080"/>
      </w:tabs>
    </w:pPr>
  </w:p>
  <w:p w14:paraId="36C14B45" w14:textId="77777777" w:rsidR="00ED1517" w:rsidRDefault="00ED1517" w:rsidP="00ED1517">
    <w:pPr>
      <w:pStyle w:val="Pidipagina"/>
      <w:tabs>
        <w:tab w:val="clear" w:pos="4819"/>
        <w:tab w:val="clear" w:pos="9638"/>
        <w:tab w:val="left" w:pos="2080"/>
      </w:tabs>
    </w:pP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3BAA92DF" w14:textId="77777777" w:rsidR="003F6C23" w:rsidRDefault="003F6C23" w:rsidP="00FA36A8">
      <w:r>
        <w:separator/>
      </w:r>
    </w:p>
  </w:footnote>
  <w:footnote w:type="continuationSeparator" w:id="0">
    <w:p w14:paraId="0C32A53C" w14:textId="77777777" w:rsidR="003F6C23" w:rsidRDefault="003F6C23" w:rsidP="00FA36A8">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36"/>
  <w:proofState w:spelling="clean" w:grammar="clean"/>
  <w:doNotTrackMoves/>
  <w:defaultTabStop w:val="709"/>
  <w:hyphenationZone w:val="283"/>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2"/>
  </w:compat>
  <w:rsids>
    <w:rsidRoot w:val="00BB2E61"/>
    <w:rsid w:val="00012384"/>
    <w:rsid w:val="000D6C90"/>
    <w:rsid w:val="00183AE2"/>
    <w:rsid w:val="001868FC"/>
    <w:rsid w:val="001B1FA6"/>
    <w:rsid w:val="0037155B"/>
    <w:rsid w:val="00396CB8"/>
    <w:rsid w:val="003F6C23"/>
    <w:rsid w:val="00427B0B"/>
    <w:rsid w:val="004B0255"/>
    <w:rsid w:val="004E1673"/>
    <w:rsid w:val="00584B35"/>
    <w:rsid w:val="00666DA8"/>
    <w:rsid w:val="007209B0"/>
    <w:rsid w:val="007242CC"/>
    <w:rsid w:val="007B59EE"/>
    <w:rsid w:val="007E4103"/>
    <w:rsid w:val="00960C76"/>
    <w:rsid w:val="00984B43"/>
    <w:rsid w:val="00B04A42"/>
    <w:rsid w:val="00BA03AD"/>
    <w:rsid w:val="00BB2E61"/>
    <w:rsid w:val="00BB7D00"/>
    <w:rsid w:val="00C851AF"/>
    <w:rsid w:val="00D469FE"/>
    <w:rsid w:val="00ED1517"/>
    <w:rsid w:val="00FA36A8"/>
  </w:rsids>
  <m:mathPr>
    <m:mathFont m:val="Cambria Math"/>
    <m:brkBin m:val="before"/>
    <m:brkBinSub m:val="--"/>
    <m:smallFrac/>
    <m:dispDef/>
    <m:lMargin m:val="0"/>
    <m:rMargin m:val="0"/>
    <m:defJc m:val="centerGroup"/>
    <m:wrapRight/>
    <m:intLim m:val="subSup"/>
    <m:naryLim m:val="subSup"/>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48399734"/>
  <w15:docId w15:val="{FFFFF82B-A1D2-465B-82CE-BF2A1CA965C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Liberation Serif" w:eastAsia="Noto Sans CJK SC Regular" w:hAnsi="Liberation Serif" w:cs="FreeSans"/>
        <w:sz w:val="24"/>
        <w:szCs w:val="24"/>
        <w:lang w:val="it-IT" w:eastAsia="zh-CN" w:bidi="hi-IN"/>
      </w:rPr>
    </w:rPrDefault>
    <w:pPrDefault/>
  </w:docDefaults>
  <w:latentStyles w:defLockedState="0" w:defUIPriority="0" w:defSemiHidden="0" w:defUnhideWhenUsed="0" w:defQFormat="0" w:count="382">
    <w:lsdException w:name="heading 5" w:semiHidden="1" w:unhideWhenUsed="1"/>
    <w:lsdException w:name="heading 6" w:semiHidden="1" w:unhideWhenUsed="1"/>
    <w:lsdException w:name="heading 7" w:semiHidden="1" w:unhideWhenUsed="1"/>
    <w:lsdException w:name="heading 8" w:semiHidden="1" w:unhideWhenUsed="1"/>
    <w:lsdException w:name="heading 9" w:semiHidden="1"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Hyperlink" w:semiHidden="1" w:unhideWhenUsed="1"/>
    <w:lsdException w:name="FollowedHyperlink" w:semiHidden="1" w:unhideWhenUsed="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Note Level 1" w:semiHidden="1" w:unhideWhenUsed="1"/>
    <w:lsdException w:name="Note Level 2" w:semiHidden="1" w:unhideWhenUsed="1"/>
    <w:lsdException w:name="Note Level 3" w:semiHidden="1" w:unhideWhenUsed="1"/>
    <w:lsdException w:name="Note Level 4" w:semiHidden="1" w:unhideWhenUsed="1"/>
    <w:lsdException w:name="Note Level 5" w:semiHidden="1" w:unhideWhenUsed="1"/>
    <w:lsdException w:name="Note Level 6" w:semiHidden="1" w:unhideWhenUsed="1"/>
    <w:lsdException w:name="Note Level 7" w:semiHidden="1" w:unhideWhenUsed="1"/>
    <w:lsdException w:name="Placeholder Text" w:semiHidden="1"/>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Bibliography" w:semiHidden="1" w:unhideWhenUsed="1"/>
    <w:lsdException w:name="TOC Heading" w:semiHidden="1" w:unhideWhenUsed="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atentStyles>
  <w:style w:type="paragraph" w:default="1" w:styleId="Normale">
    <w:name w:val="Normal"/>
    <w:qFormat/>
    <w:rsid w:val="00BB2E61"/>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character" w:customStyle="1" w:styleId="Richiamoallanotaapidipagina">
    <w:name w:val="Richiamo alla nota a piè di pagina"/>
    <w:rsid w:val="00BB2E61"/>
    <w:rPr>
      <w:vertAlign w:val="superscript"/>
    </w:rPr>
  </w:style>
  <w:style w:type="character" w:customStyle="1" w:styleId="Caratterenotaapidipagina">
    <w:name w:val="Carattere nota a piè di pagina"/>
    <w:qFormat/>
    <w:rsid w:val="00BB2E61"/>
  </w:style>
  <w:style w:type="character" w:styleId="Rimandonotaapidipagina">
    <w:name w:val="footnote reference"/>
    <w:basedOn w:val="Carpredefinitoparagrafo"/>
    <w:uiPriority w:val="99"/>
    <w:qFormat/>
    <w:rsid w:val="00BB2E61"/>
    <w:rPr>
      <w:vertAlign w:val="superscript"/>
    </w:rPr>
  </w:style>
  <w:style w:type="character" w:styleId="Enfasigrassetto">
    <w:name w:val="Strong"/>
    <w:basedOn w:val="Carpredefinitoparagrafo"/>
    <w:qFormat/>
    <w:rsid w:val="00BB2E61"/>
    <w:rPr>
      <w:b/>
      <w:bCs/>
    </w:rPr>
  </w:style>
  <w:style w:type="character" w:customStyle="1" w:styleId="apple-converted-space">
    <w:name w:val="apple-converted-space"/>
    <w:basedOn w:val="Carpredefinitoparagrafo"/>
    <w:qFormat/>
    <w:rsid w:val="00BB2E61"/>
  </w:style>
  <w:style w:type="character" w:customStyle="1" w:styleId="Enfasi">
    <w:name w:val="Enfasi"/>
    <w:basedOn w:val="Carpredefinitoparagrafo"/>
    <w:qFormat/>
    <w:rsid w:val="00BB2E61"/>
    <w:rPr>
      <w:i/>
      <w:iCs/>
    </w:rPr>
  </w:style>
  <w:style w:type="character" w:customStyle="1" w:styleId="testopupcontenuti">
    <w:name w:val="testopupcontenuti"/>
    <w:basedOn w:val="Carpredefinitoparagrafo"/>
    <w:qFormat/>
    <w:rsid w:val="00BB2E61"/>
  </w:style>
  <w:style w:type="paragraph" w:styleId="Titolo">
    <w:name w:val="Title"/>
    <w:basedOn w:val="Normale"/>
    <w:next w:val="Corpotesto"/>
    <w:qFormat/>
    <w:rsid w:val="00BB2E61"/>
    <w:pPr>
      <w:keepNext/>
      <w:spacing w:before="240" w:after="120"/>
    </w:pPr>
    <w:rPr>
      <w:rFonts w:ascii="Liberation Sans" w:hAnsi="Liberation Sans"/>
      <w:sz w:val="28"/>
      <w:szCs w:val="28"/>
    </w:rPr>
  </w:style>
  <w:style w:type="paragraph" w:styleId="Corpotesto">
    <w:name w:val="Body Text"/>
    <w:basedOn w:val="Normale"/>
    <w:rsid w:val="00BB2E61"/>
    <w:pPr>
      <w:spacing w:after="140" w:line="288" w:lineRule="auto"/>
    </w:pPr>
  </w:style>
  <w:style w:type="paragraph" w:styleId="Elenco">
    <w:name w:val="List"/>
    <w:basedOn w:val="Corpotesto"/>
    <w:rsid w:val="00BB2E61"/>
  </w:style>
  <w:style w:type="paragraph" w:customStyle="1" w:styleId="Didascalia1">
    <w:name w:val="Didascalia1"/>
    <w:basedOn w:val="Normale"/>
    <w:qFormat/>
    <w:rsid w:val="00BB2E61"/>
    <w:pPr>
      <w:suppressLineNumbers/>
      <w:spacing w:before="120" w:after="120"/>
    </w:pPr>
    <w:rPr>
      <w:i/>
      <w:iCs/>
    </w:rPr>
  </w:style>
  <w:style w:type="paragraph" w:customStyle="1" w:styleId="Indice">
    <w:name w:val="Indice"/>
    <w:basedOn w:val="Normale"/>
    <w:qFormat/>
    <w:rsid w:val="00BB2E61"/>
    <w:pPr>
      <w:suppressLineNumbers/>
    </w:pPr>
  </w:style>
  <w:style w:type="paragraph" w:customStyle="1" w:styleId="Testonotaapidipagina1">
    <w:name w:val="Testo nota a piè di pagina1"/>
    <w:basedOn w:val="Normale"/>
    <w:rsid w:val="00BB2E61"/>
    <w:pPr>
      <w:suppressLineNumbers/>
      <w:ind w:left="339" w:hanging="339"/>
    </w:pPr>
    <w:rPr>
      <w:sz w:val="20"/>
      <w:szCs w:val="20"/>
    </w:rPr>
  </w:style>
  <w:style w:type="paragraph" w:styleId="Testonotaapidipagina">
    <w:name w:val="footnote text"/>
    <w:basedOn w:val="Normale"/>
    <w:link w:val="TestonotaapidipaginaCarattere"/>
    <w:uiPriority w:val="99"/>
    <w:qFormat/>
    <w:rsid w:val="00BB2E61"/>
    <w:rPr>
      <w:sz w:val="20"/>
      <w:szCs w:val="20"/>
    </w:rPr>
  </w:style>
  <w:style w:type="character" w:customStyle="1" w:styleId="TestonotaapidipaginaCarattere">
    <w:name w:val="Testo nota a piè di pagina Carattere"/>
    <w:basedOn w:val="Carpredefinitoparagrafo"/>
    <w:link w:val="Testonotaapidipagina"/>
    <w:uiPriority w:val="99"/>
    <w:rsid w:val="00960C76"/>
    <w:rPr>
      <w:sz w:val="20"/>
      <w:szCs w:val="20"/>
    </w:rPr>
  </w:style>
  <w:style w:type="paragraph" w:styleId="Mappadocumento">
    <w:name w:val="Document Map"/>
    <w:basedOn w:val="Normale"/>
    <w:link w:val="MappadocumentoCarattere"/>
    <w:semiHidden/>
    <w:unhideWhenUsed/>
    <w:rsid w:val="00FA36A8"/>
    <w:rPr>
      <w:rFonts w:ascii="Times New Roman" w:hAnsi="Times New Roman" w:cs="Mangal"/>
      <w:szCs w:val="21"/>
    </w:rPr>
  </w:style>
  <w:style w:type="character" w:customStyle="1" w:styleId="MappadocumentoCarattere">
    <w:name w:val="Mappa documento Carattere"/>
    <w:basedOn w:val="Carpredefinitoparagrafo"/>
    <w:link w:val="Mappadocumento"/>
    <w:semiHidden/>
    <w:rsid w:val="00FA36A8"/>
    <w:rPr>
      <w:rFonts w:ascii="Times New Roman" w:hAnsi="Times New Roman" w:cs="Mangal"/>
      <w:szCs w:val="21"/>
    </w:rPr>
  </w:style>
  <w:style w:type="paragraph" w:styleId="Intestazione">
    <w:name w:val="header"/>
    <w:basedOn w:val="Normale"/>
    <w:link w:val="IntestazioneCarattere"/>
    <w:unhideWhenUsed/>
    <w:rsid w:val="00FA36A8"/>
    <w:pPr>
      <w:tabs>
        <w:tab w:val="center" w:pos="4819"/>
        <w:tab w:val="right" w:pos="9638"/>
      </w:tabs>
    </w:pPr>
    <w:rPr>
      <w:rFonts w:cs="Mangal"/>
      <w:szCs w:val="21"/>
    </w:rPr>
  </w:style>
  <w:style w:type="character" w:customStyle="1" w:styleId="IntestazioneCarattere">
    <w:name w:val="Intestazione Carattere"/>
    <w:basedOn w:val="Carpredefinitoparagrafo"/>
    <w:link w:val="Intestazione"/>
    <w:rsid w:val="00FA36A8"/>
    <w:rPr>
      <w:rFonts w:cs="Mangal"/>
      <w:szCs w:val="21"/>
    </w:rPr>
  </w:style>
  <w:style w:type="paragraph" w:styleId="Pidipagina">
    <w:name w:val="footer"/>
    <w:basedOn w:val="Normale"/>
    <w:link w:val="PidipaginaCarattere"/>
    <w:unhideWhenUsed/>
    <w:rsid w:val="00FA36A8"/>
    <w:pPr>
      <w:tabs>
        <w:tab w:val="center" w:pos="4819"/>
        <w:tab w:val="right" w:pos="9638"/>
      </w:tabs>
    </w:pPr>
    <w:rPr>
      <w:rFonts w:cs="Mangal"/>
      <w:szCs w:val="21"/>
    </w:rPr>
  </w:style>
  <w:style w:type="character" w:customStyle="1" w:styleId="PidipaginaCarattere">
    <w:name w:val="Piè di pagina Carattere"/>
    <w:basedOn w:val="Carpredefinitoparagrafo"/>
    <w:link w:val="Pidipagina"/>
    <w:rsid w:val="00FA36A8"/>
    <w:rPr>
      <w:rFonts w:cs="Mangal"/>
      <w:szCs w:val="2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NotSaveAsSingleFile/>
</w:webSettings>
</file>

<file path=word/_rels/document.xml.rels><?xml version="1.0" encoding="UTF-8" standalone="yes"?>
<Relationships xmlns="http://schemas.openxmlformats.org/package/2006/relationships"><Relationship Id="rId9" Type="http://schemas.openxmlformats.org/officeDocument/2006/relationships/image" Target="media/image4.jpeg"/><Relationship Id="rId20" Type="http://schemas.openxmlformats.org/officeDocument/2006/relationships/footer" Target="footer1.xml"/><Relationship Id="rId21" Type="http://schemas.openxmlformats.org/officeDocument/2006/relationships/fontTable" Target="fontTable.xml"/><Relationship Id="rId22" Type="http://schemas.openxmlformats.org/officeDocument/2006/relationships/theme" Target="theme/theme1.xml"/><Relationship Id="rId10" Type="http://schemas.openxmlformats.org/officeDocument/2006/relationships/image" Target="media/image5.jpeg"/><Relationship Id="rId11" Type="http://schemas.openxmlformats.org/officeDocument/2006/relationships/image" Target="media/image6.jpeg"/><Relationship Id="rId12" Type="http://schemas.openxmlformats.org/officeDocument/2006/relationships/image" Target="media/image7.jpeg"/><Relationship Id="rId13" Type="http://schemas.openxmlformats.org/officeDocument/2006/relationships/image" Target="media/image8.jpeg"/><Relationship Id="rId14" Type="http://schemas.openxmlformats.org/officeDocument/2006/relationships/image" Target="media/image9.jpeg"/><Relationship Id="rId15" Type="http://schemas.openxmlformats.org/officeDocument/2006/relationships/image" Target="media/image10.jpeg"/><Relationship Id="rId16" Type="http://schemas.openxmlformats.org/officeDocument/2006/relationships/image" Target="media/image11.jpeg"/><Relationship Id="rId17" Type="http://schemas.openxmlformats.org/officeDocument/2006/relationships/image" Target="media/image12.jpeg"/><Relationship Id="rId18" Type="http://schemas.openxmlformats.org/officeDocument/2006/relationships/image" Target="media/image13.jpeg"/><Relationship Id="rId19" Type="http://schemas.openxmlformats.org/officeDocument/2006/relationships/image" Target="media/image14.jpeg"/><Relationship Id="rId1" Type="http://schemas.openxmlformats.org/officeDocument/2006/relationships/styles" Target="styles.xml"/><Relationship Id="rId2" Type="http://schemas.openxmlformats.org/officeDocument/2006/relationships/settings" Target="settings.xml"/><Relationship Id="rId3" Type="http://schemas.openxmlformats.org/officeDocument/2006/relationships/webSettings" Target="webSettings.xml"/><Relationship Id="rId4" Type="http://schemas.openxmlformats.org/officeDocument/2006/relationships/footnotes" Target="footnotes.xml"/><Relationship Id="rId5" Type="http://schemas.openxmlformats.org/officeDocument/2006/relationships/endnotes" Target="endnotes.xml"/><Relationship Id="rId6" Type="http://schemas.openxmlformats.org/officeDocument/2006/relationships/image" Target="media/image1.jpeg"/><Relationship Id="rId7" Type="http://schemas.openxmlformats.org/officeDocument/2006/relationships/image" Target="media/image2.jpeg"/><Relationship Id="rId8" Type="http://schemas.openxmlformats.org/officeDocument/2006/relationships/image" Target="media/image3.jpeg"/></Relationships>
</file>

<file path=word/_rels/footer1.xml.rels><?xml version="1.0" encoding="UTF-8" standalone="yes"?>
<Relationships xmlns="http://schemas.openxmlformats.org/package/2006/relationships"><Relationship Id="rId1" Type="http://schemas.openxmlformats.org/officeDocument/2006/relationships/image" Target="media/image15.jpeg"/><Relationship Id="rId2" Type="http://schemas.openxmlformats.org/officeDocument/2006/relationships/image" Target="media/image16.jpeg"/><Relationship Id="rId3" Type="http://schemas.openxmlformats.org/officeDocument/2006/relationships/image" Target="media/image17.jpeg"/></Relationships>
</file>

<file path=word/theme/theme1.xml><?xml version="1.0" encoding="utf-8"?>
<a:theme xmlns:a="http://schemas.openxmlformats.org/drawingml/2006/main" name="Tema di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89</TotalTime>
  <Pages>4</Pages>
  <Words>1041</Words>
  <Characters>5937</Characters>
  <Application>Microsoft Macintosh Word</Application>
  <DocSecurity>0</DocSecurity>
  <Lines>49</Lines>
  <Paragraphs>13</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6965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Luciano Rivi</dc:creator>
  <dc:description/>
  <cp:lastModifiedBy>Utente di Microsoft Office</cp:lastModifiedBy>
  <cp:revision>7</cp:revision>
  <dcterms:created xsi:type="dcterms:W3CDTF">2017-10-15T11:23:00Z</dcterms:created>
  <dcterms:modified xsi:type="dcterms:W3CDTF">2017-10-16T15:18:00Z</dcterms:modified>
  <dc:language>it-IT</dc:language>
</cp:coreProperties>
</file>