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4708A6" w14:textId="77777777" w:rsidR="00740C2E" w:rsidRPr="002E1F27" w:rsidRDefault="002E1F27" w:rsidP="002E1F27">
      <w:pPr>
        <w:jc w:val="center"/>
        <w:rPr>
          <w:b/>
          <w:sz w:val="24"/>
          <w:szCs w:val="24"/>
        </w:rPr>
      </w:pPr>
      <w:r w:rsidRPr="002E1F27">
        <w:rPr>
          <w:noProof/>
          <w:sz w:val="24"/>
          <w:szCs w:val="24"/>
          <w:lang w:eastAsia="it-IT"/>
        </w:rPr>
        <w:drawing>
          <wp:anchor distT="0" distB="0" distL="114300" distR="114300" simplePos="0" relativeHeight="251658240" behindDoc="1" locked="0" layoutInCell="1" allowOverlap="1" wp14:anchorId="1AA1DA00" wp14:editId="4E3503E5">
            <wp:simplePos x="0" y="0"/>
            <wp:positionH relativeFrom="column">
              <wp:posOffset>3543300</wp:posOffset>
            </wp:positionH>
            <wp:positionV relativeFrom="paragraph">
              <wp:posOffset>0</wp:posOffset>
            </wp:positionV>
            <wp:extent cx="2510790" cy="2609215"/>
            <wp:effectExtent l="0" t="0" r="3810" b="6985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T lav.jpe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0790" cy="2609215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B69E7" w:rsidRPr="002E1F27">
        <w:rPr>
          <w:b/>
          <w:sz w:val="24"/>
          <w:szCs w:val="24"/>
        </w:rPr>
        <w:t>Giulio Tagliavini</w:t>
      </w:r>
    </w:p>
    <w:p w14:paraId="7423A2BE" w14:textId="77777777" w:rsidR="002E1F27" w:rsidRPr="002E1F27" w:rsidRDefault="002E1F27" w:rsidP="00FB69E7">
      <w:pPr>
        <w:jc w:val="both"/>
        <w:rPr>
          <w:sz w:val="24"/>
          <w:szCs w:val="24"/>
        </w:rPr>
      </w:pPr>
    </w:p>
    <w:p w14:paraId="16273615" w14:textId="77777777" w:rsidR="002E1F27" w:rsidRPr="002E1F27" w:rsidRDefault="002E1F27" w:rsidP="00FB69E7">
      <w:pPr>
        <w:jc w:val="both"/>
        <w:rPr>
          <w:sz w:val="24"/>
          <w:szCs w:val="24"/>
        </w:rPr>
      </w:pPr>
      <w:r w:rsidRPr="002E1F27">
        <w:rPr>
          <w:sz w:val="24"/>
          <w:szCs w:val="24"/>
        </w:rPr>
        <w:t>P</w:t>
      </w:r>
      <w:r w:rsidR="00FB69E7" w:rsidRPr="002E1F27">
        <w:rPr>
          <w:sz w:val="24"/>
          <w:szCs w:val="24"/>
        </w:rPr>
        <w:t>rofessore ordinario di Economia degli intermediari presso l’Uni</w:t>
      </w:r>
      <w:r w:rsidRPr="002E1F27">
        <w:rPr>
          <w:sz w:val="24"/>
          <w:szCs w:val="24"/>
        </w:rPr>
        <w:t xml:space="preserve">versità </w:t>
      </w:r>
      <w:proofErr w:type="gramStart"/>
      <w:r w:rsidRPr="002E1F27">
        <w:rPr>
          <w:sz w:val="24"/>
          <w:szCs w:val="24"/>
        </w:rPr>
        <w:t>degli</w:t>
      </w:r>
      <w:proofErr w:type="gramEnd"/>
      <w:r w:rsidRPr="002E1F27">
        <w:rPr>
          <w:sz w:val="24"/>
          <w:szCs w:val="24"/>
        </w:rPr>
        <w:t xml:space="preserve"> Studi di Parma è</w:t>
      </w:r>
      <w:r w:rsidR="00FB69E7" w:rsidRPr="002E1F27">
        <w:rPr>
          <w:sz w:val="24"/>
          <w:szCs w:val="24"/>
        </w:rPr>
        <w:t xml:space="preserve"> autore di diverse pubblicazioni sui temi finanziari e bancari, nel profilo specialistico e dell’educazione finanziaria. </w:t>
      </w:r>
    </w:p>
    <w:p w14:paraId="79527C32" w14:textId="77777777" w:rsidR="00FB69E7" w:rsidRPr="002E1F27" w:rsidRDefault="002E1F27" w:rsidP="00FB69E7">
      <w:pPr>
        <w:jc w:val="both"/>
        <w:rPr>
          <w:sz w:val="24"/>
          <w:szCs w:val="24"/>
        </w:rPr>
      </w:pPr>
      <w:r w:rsidRPr="002E1F27">
        <w:rPr>
          <w:sz w:val="24"/>
          <w:szCs w:val="24"/>
        </w:rPr>
        <w:t>M</w:t>
      </w:r>
      <w:r w:rsidR="00FB69E7" w:rsidRPr="002E1F27">
        <w:rPr>
          <w:sz w:val="24"/>
          <w:szCs w:val="24"/>
        </w:rPr>
        <w:t>embro di Adeimf – Associazione italiana dei docenti di economia</w:t>
      </w:r>
      <w:r w:rsidRPr="002E1F27">
        <w:rPr>
          <w:sz w:val="24"/>
          <w:szCs w:val="24"/>
        </w:rPr>
        <w:t xml:space="preserve"> </w:t>
      </w:r>
      <w:proofErr w:type="gramStart"/>
      <w:r w:rsidRPr="002E1F27">
        <w:rPr>
          <w:sz w:val="24"/>
          <w:szCs w:val="24"/>
        </w:rPr>
        <w:t>degli</w:t>
      </w:r>
      <w:proofErr w:type="gramEnd"/>
      <w:r w:rsidRPr="002E1F27">
        <w:rPr>
          <w:sz w:val="24"/>
          <w:szCs w:val="24"/>
        </w:rPr>
        <w:t xml:space="preserve"> intermediari finanziari, h</w:t>
      </w:r>
      <w:r w:rsidR="00FB69E7" w:rsidRPr="002E1F27">
        <w:rPr>
          <w:sz w:val="24"/>
          <w:szCs w:val="24"/>
        </w:rPr>
        <w:t xml:space="preserve">a affrontato alcuni profili dell’ampio tema della difesa del risparmio, con </w:t>
      </w:r>
      <w:r w:rsidRPr="002E1F27">
        <w:rPr>
          <w:sz w:val="24"/>
          <w:szCs w:val="24"/>
        </w:rPr>
        <w:t xml:space="preserve">particolare </w:t>
      </w:r>
      <w:r w:rsidR="00FB69E7" w:rsidRPr="002E1F27">
        <w:rPr>
          <w:sz w:val="24"/>
          <w:szCs w:val="24"/>
        </w:rPr>
        <w:t>riguardo ad aspetti specifici e agli elementi di scenario.</w:t>
      </w:r>
    </w:p>
    <w:p w14:paraId="6C738FAF" w14:textId="77777777" w:rsidR="00FB69E7" w:rsidRDefault="00FB69E7" w:rsidP="00FB69E7">
      <w:pPr>
        <w:jc w:val="both"/>
      </w:pPr>
    </w:p>
    <w:p w14:paraId="285C20CA" w14:textId="77777777" w:rsidR="002E1F27" w:rsidRDefault="00FB69E7" w:rsidP="00272580">
      <w:pPr>
        <w:jc w:val="both"/>
        <w:rPr>
          <w:rFonts w:asciiTheme="majorHAnsi" w:hAnsiTheme="majorHAnsi" w:cs="Arial"/>
          <w:color w:val="353946"/>
          <w:sz w:val="20"/>
          <w:szCs w:val="20"/>
        </w:rPr>
      </w:pPr>
      <w:r w:rsidRPr="002E1F27">
        <w:rPr>
          <w:rFonts w:asciiTheme="majorHAnsi" w:hAnsiTheme="majorHAnsi" w:cs="Arial"/>
          <w:color w:val="353946"/>
          <w:sz w:val="20"/>
          <w:szCs w:val="20"/>
        </w:rPr>
        <w:t xml:space="preserve">Giulio Tagliavini ha indicato in </w:t>
      </w:r>
      <w:r w:rsidR="002E1F27">
        <w:rPr>
          <w:rFonts w:asciiTheme="majorHAnsi" w:hAnsiTheme="majorHAnsi" w:cs="Arial"/>
          <w:color w:val="353946"/>
          <w:sz w:val="20"/>
          <w:szCs w:val="20"/>
        </w:rPr>
        <w:t xml:space="preserve">anticipo che lo schema del </w:t>
      </w:r>
      <w:proofErr w:type="spellStart"/>
      <w:r w:rsidR="002E1F27">
        <w:rPr>
          <w:rFonts w:asciiTheme="majorHAnsi" w:hAnsiTheme="majorHAnsi" w:cs="Arial"/>
          <w:color w:val="353946"/>
          <w:sz w:val="20"/>
          <w:szCs w:val="20"/>
        </w:rPr>
        <w:t>bail</w:t>
      </w:r>
      <w:proofErr w:type="spellEnd"/>
      <w:r w:rsidR="002E1F27">
        <w:rPr>
          <w:rFonts w:asciiTheme="majorHAnsi" w:hAnsiTheme="majorHAnsi" w:cs="Arial"/>
          <w:color w:val="353946"/>
          <w:sz w:val="20"/>
          <w:szCs w:val="20"/>
        </w:rPr>
        <w:t>-</w:t>
      </w:r>
      <w:r w:rsidRPr="002E1F27">
        <w:rPr>
          <w:rFonts w:asciiTheme="majorHAnsi" w:hAnsiTheme="majorHAnsi" w:cs="Arial"/>
          <w:color w:val="353946"/>
          <w:sz w:val="20"/>
          <w:szCs w:val="20"/>
        </w:rPr>
        <w:t xml:space="preserve">in non era sufficientemente equilibrato per affrontare i problemi sul campo. </w:t>
      </w:r>
    </w:p>
    <w:p w14:paraId="7162B4BB" w14:textId="77777777" w:rsidR="002E1F27" w:rsidRDefault="00FB69E7" w:rsidP="00272580">
      <w:pPr>
        <w:jc w:val="both"/>
        <w:rPr>
          <w:rFonts w:asciiTheme="majorHAnsi" w:hAnsiTheme="majorHAnsi" w:cs="Arial"/>
          <w:color w:val="353946"/>
          <w:sz w:val="20"/>
          <w:szCs w:val="20"/>
        </w:rPr>
      </w:pPr>
      <w:r w:rsidRPr="002E1F27">
        <w:rPr>
          <w:rFonts w:asciiTheme="majorHAnsi" w:hAnsiTheme="majorHAnsi" w:cs="Arial"/>
          <w:color w:val="353946"/>
          <w:sz w:val="20"/>
          <w:szCs w:val="20"/>
        </w:rPr>
        <w:t xml:space="preserve">La teoria preferita dal legislatore europeo distingue tra risparmiatore inconsapevole (da difendere sempre al 100%) e risparmiatore consapevole (che invece in teoria può capire il pericolo e se </w:t>
      </w:r>
      <w:proofErr w:type="gramStart"/>
      <w:r w:rsidRPr="002E1F27">
        <w:rPr>
          <w:rFonts w:asciiTheme="majorHAnsi" w:hAnsiTheme="majorHAnsi" w:cs="Arial"/>
          <w:color w:val="353946"/>
          <w:sz w:val="20"/>
          <w:szCs w:val="20"/>
        </w:rPr>
        <w:t>ne</w:t>
      </w:r>
      <w:proofErr w:type="gramEnd"/>
      <w:r w:rsidRPr="002E1F27">
        <w:rPr>
          <w:rFonts w:asciiTheme="majorHAnsi" w:hAnsiTheme="majorHAnsi" w:cs="Arial"/>
          <w:color w:val="353946"/>
          <w:sz w:val="20"/>
          <w:szCs w:val="20"/>
        </w:rPr>
        <w:t xml:space="preserve"> può allontanare e se non se allontana deve compartecipare alla perdita). </w:t>
      </w:r>
    </w:p>
    <w:p w14:paraId="72BC517B" w14:textId="77777777" w:rsidR="002E1F27" w:rsidRDefault="00FB69E7" w:rsidP="00272580">
      <w:pPr>
        <w:jc w:val="both"/>
        <w:rPr>
          <w:rFonts w:asciiTheme="majorHAnsi" w:hAnsiTheme="majorHAnsi" w:cs="Arial"/>
          <w:color w:val="353946"/>
          <w:sz w:val="20"/>
          <w:szCs w:val="20"/>
        </w:rPr>
      </w:pPr>
      <w:r w:rsidRPr="002E1F27">
        <w:rPr>
          <w:rFonts w:asciiTheme="majorHAnsi" w:hAnsiTheme="majorHAnsi" w:cs="Arial"/>
          <w:color w:val="353946"/>
          <w:sz w:val="20"/>
          <w:szCs w:val="20"/>
        </w:rPr>
        <w:t xml:space="preserve">La teoria è </w:t>
      </w:r>
      <w:proofErr w:type="gramStart"/>
      <w:r w:rsidRPr="002E1F27">
        <w:rPr>
          <w:rFonts w:asciiTheme="majorHAnsi" w:hAnsiTheme="majorHAnsi" w:cs="Arial"/>
          <w:color w:val="353946"/>
          <w:sz w:val="20"/>
          <w:szCs w:val="20"/>
        </w:rPr>
        <w:t>sensata, ma</w:t>
      </w:r>
      <w:proofErr w:type="gramEnd"/>
      <w:r w:rsidRPr="002E1F27">
        <w:rPr>
          <w:rFonts w:asciiTheme="majorHAnsi" w:hAnsiTheme="majorHAnsi" w:cs="Arial"/>
          <w:color w:val="353946"/>
          <w:sz w:val="20"/>
          <w:szCs w:val="20"/>
        </w:rPr>
        <w:t xml:space="preserve"> ciò non è sufficiente per determinare la sua veridicità.  </w:t>
      </w:r>
    </w:p>
    <w:p w14:paraId="3D8EDD16" w14:textId="77777777" w:rsidR="002E1F27" w:rsidRDefault="00FB69E7" w:rsidP="00272580">
      <w:pPr>
        <w:jc w:val="both"/>
        <w:rPr>
          <w:rFonts w:asciiTheme="majorHAnsi" w:hAnsiTheme="majorHAnsi" w:cs="Arial"/>
          <w:color w:val="353946"/>
          <w:sz w:val="20"/>
          <w:szCs w:val="20"/>
        </w:rPr>
      </w:pPr>
      <w:r w:rsidRPr="002E1F27">
        <w:rPr>
          <w:rFonts w:asciiTheme="majorHAnsi" w:hAnsiTheme="majorHAnsi" w:cs="Arial"/>
          <w:color w:val="353946"/>
          <w:sz w:val="20"/>
          <w:szCs w:val="20"/>
        </w:rPr>
        <w:t xml:space="preserve">La logica basata sul risparmiatore consapevole ha senso solo dopo che se esistono veramente. Se invece i risparmiatori consapevoli non esistono (cosa non </w:t>
      </w:r>
      <w:proofErr w:type="gramStart"/>
      <w:r w:rsidRPr="002E1F27">
        <w:rPr>
          <w:rFonts w:asciiTheme="majorHAnsi" w:hAnsiTheme="majorHAnsi" w:cs="Arial"/>
          <w:color w:val="353946"/>
          <w:sz w:val="20"/>
          <w:szCs w:val="20"/>
        </w:rPr>
        <w:t>certa, ma</w:t>
      </w:r>
      <w:proofErr w:type="gramEnd"/>
      <w:r w:rsidRPr="002E1F27">
        <w:rPr>
          <w:rFonts w:asciiTheme="majorHAnsi" w:hAnsiTheme="majorHAnsi" w:cs="Arial"/>
          <w:color w:val="353946"/>
          <w:sz w:val="20"/>
          <w:szCs w:val="20"/>
        </w:rPr>
        <w:t xml:space="preserve"> possibile in base al fatto che non se ne trovano) ne deriva un sistema non equilibrato.</w:t>
      </w:r>
    </w:p>
    <w:p w14:paraId="2CC46325" w14:textId="77777777" w:rsidR="002E1F27" w:rsidRDefault="00FB69E7" w:rsidP="00272580">
      <w:pPr>
        <w:jc w:val="both"/>
        <w:rPr>
          <w:rFonts w:asciiTheme="majorHAnsi" w:hAnsiTheme="majorHAnsi" w:cs="Arial"/>
          <w:color w:val="353946"/>
          <w:sz w:val="20"/>
          <w:szCs w:val="20"/>
        </w:rPr>
      </w:pPr>
      <w:r w:rsidRPr="002E1F27">
        <w:rPr>
          <w:rFonts w:asciiTheme="majorHAnsi" w:hAnsiTheme="majorHAnsi" w:cs="Arial"/>
          <w:color w:val="353946"/>
          <w:sz w:val="20"/>
          <w:szCs w:val="20"/>
        </w:rPr>
        <w:t xml:space="preserve">Quando esiste un sistema di soccorso, </w:t>
      </w:r>
      <w:r w:rsidR="00720BB7" w:rsidRPr="002E1F27">
        <w:rPr>
          <w:rFonts w:asciiTheme="majorHAnsi" w:hAnsiTheme="majorHAnsi" w:cs="Arial"/>
          <w:color w:val="353946"/>
          <w:sz w:val="20"/>
          <w:szCs w:val="20"/>
        </w:rPr>
        <w:t xml:space="preserve">in questo </w:t>
      </w:r>
      <w:r w:rsidR="004D6B47" w:rsidRPr="002E1F27">
        <w:rPr>
          <w:rFonts w:asciiTheme="majorHAnsi" w:hAnsiTheme="majorHAnsi" w:cs="Arial"/>
          <w:color w:val="353946"/>
          <w:sz w:val="20"/>
          <w:szCs w:val="20"/>
        </w:rPr>
        <w:t xml:space="preserve">caso </w:t>
      </w:r>
      <w:r w:rsidR="00720BB7" w:rsidRPr="002E1F27">
        <w:rPr>
          <w:rFonts w:asciiTheme="majorHAnsi" w:hAnsiTheme="majorHAnsi" w:cs="Arial"/>
          <w:color w:val="353946"/>
          <w:sz w:val="20"/>
          <w:szCs w:val="20"/>
        </w:rPr>
        <w:t xml:space="preserve">per l’ipotesi dell’insolvenza di una banca, </w:t>
      </w:r>
      <w:r w:rsidRPr="002E1F27">
        <w:rPr>
          <w:rFonts w:asciiTheme="majorHAnsi" w:hAnsiTheme="majorHAnsi" w:cs="Arial"/>
          <w:color w:val="353946"/>
          <w:sz w:val="20"/>
          <w:szCs w:val="20"/>
        </w:rPr>
        <w:t>effettivamente si corre il rischio che gli utenti potenziali si mettano in pericolo</w:t>
      </w:r>
      <w:r w:rsidR="00720BB7" w:rsidRPr="002E1F27">
        <w:rPr>
          <w:rFonts w:asciiTheme="majorHAnsi" w:hAnsiTheme="majorHAnsi" w:cs="Arial"/>
          <w:color w:val="353946"/>
          <w:sz w:val="20"/>
          <w:szCs w:val="20"/>
        </w:rPr>
        <w:t xml:space="preserve"> in misura maggiore rispetto al caso che il soccorso non esista</w:t>
      </w:r>
      <w:r w:rsidRPr="002E1F27">
        <w:rPr>
          <w:rFonts w:asciiTheme="majorHAnsi" w:hAnsiTheme="majorHAnsi" w:cs="Arial"/>
          <w:color w:val="353946"/>
          <w:sz w:val="20"/>
          <w:szCs w:val="20"/>
        </w:rPr>
        <w:t xml:space="preserve">. </w:t>
      </w:r>
    </w:p>
    <w:p w14:paraId="051C473B" w14:textId="77777777" w:rsidR="002E1F27" w:rsidRDefault="00FB69E7" w:rsidP="00272580">
      <w:pPr>
        <w:jc w:val="both"/>
        <w:rPr>
          <w:rFonts w:asciiTheme="majorHAnsi" w:hAnsiTheme="majorHAnsi" w:cs="Arial"/>
          <w:color w:val="353946"/>
          <w:sz w:val="20"/>
          <w:szCs w:val="20"/>
        </w:rPr>
      </w:pPr>
      <w:proofErr w:type="gramStart"/>
      <w:r w:rsidRPr="002E1F27">
        <w:rPr>
          <w:rFonts w:asciiTheme="majorHAnsi" w:hAnsiTheme="majorHAnsi" w:cs="Arial"/>
          <w:color w:val="353946"/>
          <w:sz w:val="20"/>
          <w:szCs w:val="20"/>
        </w:rPr>
        <w:t>Ma</w:t>
      </w:r>
      <w:proofErr w:type="gramEnd"/>
      <w:r w:rsidRPr="002E1F27">
        <w:rPr>
          <w:rFonts w:asciiTheme="majorHAnsi" w:hAnsiTheme="majorHAnsi" w:cs="Arial"/>
          <w:color w:val="353946"/>
          <w:sz w:val="20"/>
          <w:szCs w:val="20"/>
        </w:rPr>
        <w:t xml:space="preserve"> se il costo del salvataggio diviene questione privata, ne deriva che il sistema di vigilanza ex-ante può </w:t>
      </w:r>
      <w:r w:rsidR="00720BB7" w:rsidRPr="002E1F27">
        <w:rPr>
          <w:rFonts w:asciiTheme="majorHAnsi" w:hAnsiTheme="majorHAnsi" w:cs="Arial"/>
          <w:color w:val="353946"/>
          <w:sz w:val="20"/>
          <w:szCs w:val="20"/>
        </w:rPr>
        <w:t>essere meno preciso</w:t>
      </w:r>
      <w:r w:rsidRPr="002E1F27">
        <w:rPr>
          <w:rFonts w:asciiTheme="majorHAnsi" w:hAnsiTheme="majorHAnsi" w:cs="Arial"/>
          <w:color w:val="353946"/>
          <w:sz w:val="20"/>
          <w:szCs w:val="20"/>
        </w:rPr>
        <w:t xml:space="preserve">. Anche questo è azzardo morale. </w:t>
      </w:r>
    </w:p>
    <w:p w14:paraId="28E54C2C" w14:textId="77777777" w:rsidR="002E1F27" w:rsidRDefault="00FB69E7" w:rsidP="00272580">
      <w:pPr>
        <w:jc w:val="both"/>
        <w:rPr>
          <w:rFonts w:asciiTheme="majorHAnsi" w:hAnsiTheme="majorHAnsi" w:cs="Arial"/>
          <w:color w:val="353946"/>
          <w:sz w:val="20"/>
          <w:szCs w:val="20"/>
        </w:rPr>
      </w:pPr>
      <w:r w:rsidRPr="002E1F27">
        <w:rPr>
          <w:rFonts w:asciiTheme="majorHAnsi" w:hAnsiTheme="majorHAnsi" w:cs="Arial"/>
          <w:color w:val="353946"/>
          <w:sz w:val="20"/>
          <w:szCs w:val="20"/>
        </w:rPr>
        <w:t xml:space="preserve">Con un sistema di partecipazione del costo </w:t>
      </w:r>
      <w:proofErr w:type="gramStart"/>
      <w:r w:rsidRPr="002E1F27">
        <w:rPr>
          <w:rFonts w:asciiTheme="majorHAnsi" w:hAnsiTheme="majorHAnsi" w:cs="Arial"/>
          <w:color w:val="353946"/>
          <w:sz w:val="20"/>
          <w:szCs w:val="20"/>
        </w:rPr>
        <w:t>del</w:t>
      </w:r>
      <w:proofErr w:type="gramEnd"/>
      <w:r w:rsidRPr="002E1F27">
        <w:rPr>
          <w:rFonts w:asciiTheme="majorHAnsi" w:hAnsiTheme="majorHAnsi" w:cs="Arial"/>
          <w:color w:val="353946"/>
          <w:sz w:val="20"/>
          <w:szCs w:val="20"/>
        </w:rPr>
        <w:t xml:space="preserve"> fallimento a carico del risparmiatore (</w:t>
      </w:r>
      <w:proofErr w:type="spellStart"/>
      <w:r w:rsidRPr="002E1F27">
        <w:rPr>
          <w:rFonts w:asciiTheme="majorHAnsi" w:hAnsiTheme="majorHAnsi" w:cs="Arial"/>
          <w:color w:val="353946"/>
          <w:sz w:val="20"/>
          <w:szCs w:val="20"/>
        </w:rPr>
        <w:t>bail</w:t>
      </w:r>
      <w:proofErr w:type="spellEnd"/>
      <w:r w:rsidRPr="002E1F27">
        <w:rPr>
          <w:rFonts w:asciiTheme="majorHAnsi" w:hAnsiTheme="majorHAnsi" w:cs="Arial"/>
          <w:color w:val="353946"/>
          <w:sz w:val="20"/>
          <w:szCs w:val="20"/>
        </w:rPr>
        <w:t xml:space="preserve">-in) diviene meno rilevante per l’autorità di vigilanza non accorgersi di comportamenti fraudolenti in corso. </w:t>
      </w:r>
    </w:p>
    <w:p w14:paraId="7FA7EE20" w14:textId="77777777" w:rsidR="002E1F27" w:rsidRDefault="004D6B47" w:rsidP="00272580">
      <w:pPr>
        <w:jc w:val="both"/>
        <w:rPr>
          <w:rFonts w:asciiTheme="majorHAnsi" w:hAnsiTheme="majorHAnsi" w:cs="Arial"/>
          <w:color w:val="353946"/>
          <w:sz w:val="20"/>
          <w:szCs w:val="20"/>
        </w:rPr>
      </w:pPr>
      <w:r w:rsidRPr="002E1F27">
        <w:rPr>
          <w:rFonts w:asciiTheme="majorHAnsi" w:hAnsiTheme="majorHAnsi" w:cs="Arial"/>
          <w:color w:val="353946"/>
          <w:sz w:val="20"/>
          <w:szCs w:val="20"/>
        </w:rPr>
        <w:t>L</w:t>
      </w:r>
      <w:r w:rsidR="00FB69E7" w:rsidRPr="002E1F27">
        <w:rPr>
          <w:rFonts w:asciiTheme="majorHAnsi" w:hAnsiTheme="majorHAnsi" w:cs="Arial"/>
          <w:color w:val="353946"/>
          <w:sz w:val="20"/>
          <w:szCs w:val="20"/>
        </w:rPr>
        <w:t xml:space="preserve">a soluzione del </w:t>
      </w:r>
      <w:proofErr w:type="spellStart"/>
      <w:r w:rsidR="00FB69E7" w:rsidRPr="002E1F27">
        <w:rPr>
          <w:rFonts w:asciiTheme="majorHAnsi" w:hAnsiTheme="majorHAnsi" w:cs="Arial"/>
          <w:color w:val="353946"/>
          <w:sz w:val="20"/>
          <w:szCs w:val="20"/>
        </w:rPr>
        <w:t>bail</w:t>
      </w:r>
      <w:proofErr w:type="spellEnd"/>
      <w:r w:rsidR="00FB69E7" w:rsidRPr="002E1F27">
        <w:rPr>
          <w:rFonts w:asciiTheme="majorHAnsi" w:hAnsiTheme="majorHAnsi" w:cs="Arial"/>
          <w:color w:val="353946"/>
          <w:sz w:val="20"/>
          <w:szCs w:val="20"/>
        </w:rPr>
        <w:t xml:space="preserve">-in è discutibile e mina alla radice il meccanismo fiduciario. Che si realizzi in questo mondo un effetto di stabilizzazione del sistema bancario è dubbio. Di sicuro si realizza un nuovo costo per il risparmiatore che incappa nella banca gestita fraudolentemente. </w:t>
      </w:r>
    </w:p>
    <w:p w14:paraId="68674007" w14:textId="77777777" w:rsidR="002E1F27" w:rsidRDefault="004D6B47" w:rsidP="00272580">
      <w:pPr>
        <w:jc w:val="both"/>
        <w:rPr>
          <w:rFonts w:asciiTheme="majorHAnsi" w:hAnsiTheme="majorHAnsi" w:cs="Arial"/>
          <w:color w:val="353946"/>
          <w:sz w:val="20"/>
          <w:szCs w:val="20"/>
        </w:rPr>
      </w:pPr>
      <w:r w:rsidRPr="002E1F27">
        <w:rPr>
          <w:rFonts w:asciiTheme="majorHAnsi" w:hAnsiTheme="majorHAnsi" w:cs="Arial"/>
          <w:color w:val="353946"/>
          <w:sz w:val="20"/>
          <w:szCs w:val="20"/>
        </w:rPr>
        <w:t xml:space="preserve">Queste sono </w:t>
      </w:r>
      <w:proofErr w:type="gramStart"/>
      <w:r w:rsidRPr="002E1F27">
        <w:rPr>
          <w:rFonts w:asciiTheme="majorHAnsi" w:hAnsiTheme="majorHAnsi" w:cs="Arial"/>
          <w:color w:val="353946"/>
          <w:sz w:val="20"/>
          <w:szCs w:val="20"/>
        </w:rPr>
        <w:t>le</w:t>
      </w:r>
      <w:proofErr w:type="gramEnd"/>
      <w:r w:rsidRPr="002E1F27">
        <w:rPr>
          <w:rFonts w:asciiTheme="majorHAnsi" w:hAnsiTheme="majorHAnsi" w:cs="Arial"/>
          <w:color w:val="353946"/>
          <w:sz w:val="20"/>
          <w:szCs w:val="20"/>
        </w:rPr>
        <w:t xml:space="preserve"> valutazione da cui partire per trovare un equilibrio accettabile tra gli interessi in gioco.</w:t>
      </w:r>
      <w:r w:rsidR="002E1F27">
        <w:rPr>
          <w:rFonts w:asciiTheme="majorHAnsi" w:hAnsiTheme="majorHAnsi" w:cs="Arial"/>
          <w:color w:val="353946"/>
          <w:sz w:val="20"/>
          <w:szCs w:val="20"/>
        </w:rPr>
        <w:t xml:space="preserve"> </w:t>
      </w:r>
    </w:p>
    <w:p w14:paraId="5C1036DD" w14:textId="77777777" w:rsidR="002E1F27" w:rsidRDefault="002E1F27" w:rsidP="00272580">
      <w:pPr>
        <w:jc w:val="both"/>
        <w:rPr>
          <w:rFonts w:asciiTheme="majorHAnsi" w:hAnsiTheme="majorHAnsi" w:cs="Arial"/>
          <w:color w:val="353946"/>
          <w:sz w:val="20"/>
          <w:szCs w:val="20"/>
        </w:rPr>
      </w:pPr>
    </w:p>
    <w:p w14:paraId="7515B2D2" w14:textId="77777777" w:rsidR="00FB69E7" w:rsidRPr="002E1F27" w:rsidRDefault="002E1F27" w:rsidP="00272580">
      <w:pPr>
        <w:jc w:val="both"/>
        <w:rPr>
          <w:rFonts w:asciiTheme="majorHAnsi" w:hAnsiTheme="majorHAnsi" w:cs="Arial"/>
          <w:color w:val="353946"/>
          <w:sz w:val="20"/>
          <w:szCs w:val="20"/>
        </w:rPr>
      </w:pPr>
      <w:r>
        <w:rPr>
          <w:rFonts w:asciiTheme="majorHAnsi" w:hAnsiTheme="majorHAnsi" w:cs="Arial"/>
          <w:color w:val="353946"/>
          <w:sz w:val="20"/>
          <w:szCs w:val="20"/>
        </w:rPr>
        <w:t>Approfondimenti al link:</w:t>
      </w:r>
    </w:p>
    <w:p w14:paraId="5C7A09C3" w14:textId="77777777" w:rsidR="00FB69E7" w:rsidRDefault="002E1F27" w:rsidP="00FB69E7">
      <w:pPr>
        <w:jc w:val="both"/>
      </w:pPr>
      <w:hyperlink r:id="rId7" w:anchor="more-3101" w:history="1">
        <w:r w:rsidR="004D6B47" w:rsidRPr="00FC0B36">
          <w:rPr>
            <w:rStyle w:val="Collegamentoipertestuale"/>
          </w:rPr>
          <w:t>http://www.nonconimieisoldi.org/cosa-non-va-nella-finanza/il-salvataggio-ad-ogni-costo-delle-banche/#more-3101</w:t>
        </w:r>
      </w:hyperlink>
    </w:p>
    <w:p w14:paraId="50D57832" w14:textId="77777777" w:rsidR="004D6B47" w:rsidRDefault="004D6B47" w:rsidP="00FB69E7">
      <w:pPr>
        <w:jc w:val="both"/>
      </w:pPr>
    </w:p>
    <w:p w14:paraId="287107C2" w14:textId="77777777" w:rsidR="004D6B47" w:rsidRDefault="004D6B47" w:rsidP="00FB69E7">
      <w:pPr>
        <w:jc w:val="both"/>
      </w:pPr>
    </w:p>
    <w:p w14:paraId="13435F0B" w14:textId="77777777" w:rsidR="00C97930" w:rsidRDefault="00C97930" w:rsidP="00FB69E7">
      <w:pPr>
        <w:jc w:val="both"/>
      </w:pPr>
      <w:bookmarkStart w:id="0" w:name="_GoBack"/>
      <w:r>
        <w:rPr>
          <w:noProof/>
          <w:lang w:eastAsia="it-IT"/>
        </w:rPr>
        <w:lastRenderedPageBreak/>
        <w:drawing>
          <wp:inline distT="0" distB="0" distL="0" distR="0" wp14:anchorId="62E3567C" wp14:editId="4679BB46">
            <wp:extent cx="6120130" cy="4064635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SC_008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064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C97930" w:rsidSect="002E1F27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9E7"/>
    <w:rsid w:val="00272580"/>
    <w:rsid w:val="002E1F27"/>
    <w:rsid w:val="004D6B47"/>
    <w:rsid w:val="00720BB7"/>
    <w:rsid w:val="00740C2E"/>
    <w:rsid w:val="00C97930"/>
    <w:rsid w:val="00EB1CC0"/>
    <w:rsid w:val="00FB6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12D4D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FB69E7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atterepredefinitoparagrafo"/>
    <w:uiPriority w:val="99"/>
    <w:unhideWhenUsed/>
    <w:rsid w:val="004D6B47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E1F2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2E1F2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FB69E7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atterepredefinitoparagrafo"/>
    <w:uiPriority w:val="99"/>
    <w:unhideWhenUsed/>
    <w:rsid w:val="004D6B47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E1F2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2E1F2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876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24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0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654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hyperlink" Target="http://www.nonconimieisoldi.org/cosa-non-va-nella-finanza/il-salvataggio-ad-ogni-costo-delle-banche/" TargetMode="External"/><Relationship Id="rId8" Type="http://schemas.openxmlformats.org/officeDocument/2006/relationships/image" Target="media/image2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C23FC6-9076-4E4D-9CC0-46C5BAB90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374</Words>
  <Characters>2132</Characters>
  <Application>Microsoft Macintosh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Giulio Tagliavini</dc:creator>
  <cp:keywords/>
  <dc:description/>
  <cp:lastModifiedBy>Riccardo Forni</cp:lastModifiedBy>
  <cp:revision>5</cp:revision>
  <dcterms:created xsi:type="dcterms:W3CDTF">2016-03-25T08:41:00Z</dcterms:created>
  <dcterms:modified xsi:type="dcterms:W3CDTF">2016-03-25T09:26:00Z</dcterms:modified>
</cp:coreProperties>
</file>