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C56" w:rsidRDefault="004F189E" w:rsidP="004F189E">
      <w:pPr>
        <w:autoSpaceDE w:val="0"/>
        <w:autoSpaceDN w:val="0"/>
        <w:adjustRightInd w:val="0"/>
        <w:spacing w:before="100" w:after="100"/>
        <w:rPr>
          <w:rFonts w:ascii="Arial Narrow" w:hAnsi="Arial Narrow" w:cs="Arial Narrow"/>
          <w:b/>
          <w:sz w:val="22"/>
          <w:szCs w:val="22"/>
        </w:rPr>
      </w:pPr>
      <w:r w:rsidRPr="004F189E">
        <w:rPr>
          <w:rFonts w:ascii="Arial Narrow" w:hAnsi="Arial Narrow" w:cs="Arial Narrow"/>
          <w:b/>
          <w:color w:val="000000"/>
          <w:sz w:val="32"/>
          <w:szCs w:val="32"/>
        </w:rPr>
        <w:t>Accensione dei nuovi impianti di pubblica illuminazione di Piazza XXIV, Via Agnelli, Via Pola</w:t>
      </w:r>
      <w:r>
        <w:rPr>
          <w:rFonts w:ascii="Arial Narrow" w:hAnsi="Arial Narrow" w:cs="Arial Narrow"/>
          <w:b/>
          <w:color w:val="000000"/>
          <w:sz w:val="32"/>
          <w:szCs w:val="32"/>
        </w:rPr>
        <w:t xml:space="preserve">, Via Gorizia, Via Martinelli </w:t>
      </w:r>
      <w:r w:rsidRPr="004F189E">
        <w:rPr>
          <w:rFonts w:ascii="Arial Narrow" w:hAnsi="Arial Narrow" w:cs="Arial Narrow"/>
          <w:b/>
          <w:color w:val="000000"/>
          <w:sz w:val="32"/>
          <w:szCs w:val="32"/>
        </w:rPr>
        <w:t>e Viale dei Mille,</w:t>
      </w:r>
      <w:r w:rsidRPr="003C1F5F">
        <w:rPr>
          <w:rFonts w:ascii="Arial Narrow" w:hAnsi="Arial Narrow" w:cs="Arial Narrow"/>
          <w:color w:val="000000"/>
          <w:sz w:val="28"/>
          <w:szCs w:val="28"/>
        </w:rPr>
        <w:t xml:space="preserve"> </w:t>
      </w:r>
      <w:r>
        <w:rPr>
          <w:rFonts w:ascii="Arial Narrow" w:hAnsi="Arial Narrow" w:cs="Arial Narrow"/>
          <w:color w:val="000000"/>
          <w:sz w:val="28"/>
          <w:szCs w:val="28"/>
        </w:rPr>
        <w:t xml:space="preserve">nell’ambito dei “lavori di </w:t>
      </w:r>
      <w:r w:rsidRPr="003C1F5F">
        <w:rPr>
          <w:rFonts w:ascii="Arial Narrow" w:hAnsi="Arial Narrow" w:cs="Arial Narrow"/>
          <w:color w:val="000000"/>
          <w:sz w:val="28"/>
          <w:szCs w:val="28"/>
        </w:rPr>
        <w:t>rifacimento degli impianti di pubblica illuminazione di Piazza XXIV Maggio, Via Agnelli, Via Pola, Viale dei Mille, Via Martinelli, Via Gorizia, Via Fiume, Via Pasubio, Corso Piave</w:t>
      </w:r>
      <w:r>
        <w:rPr>
          <w:rFonts w:ascii="Arial Narrow" w:hAnsi="Arial Narrow" w:cs="Arial Narrow"/>
          <w:color w:val="000000"/>
          <w:sz w:val="28"/>
          <w:szCs w:val="28"/>
        </w:rPr>
        <w:t>”.</w:t>
      </w:r>
      <w:r w:rsidR="00622C56">
        <w:rPr>
          <w:rFonts w:ascii="Arial Narrow" w:hAnsi="Arial Narrow" w:cs="Arial Narrow"/>
          <w:b/>
          <w:sz w:val="22"/>
          <w:szCs w:val="22"/>
        </w:rPr>
        <w:t xml:space="preserve"> </w:t>
      </w:r>
    </w:p>
    <w:p w:rsidR="009446CE" w:rsidRDefault="009446CE" w:rsidP="007E5BA4">
      <w:pPr>
        <w:autoSpaceDE w:val="0"/>
        <w:autoSpaceDN w:val="0"/>
        <w:adjustRightInd w:val="0"/>
        <w:spacing w:before="100" w:after="100"/>
        <w:rPr>
          <w:rFonts w:ascii="Arial Narrow" w:hAnsi="Arial Narrow" w:cs="Arial Narrow"/>
          <w:b/>
          <w:sz w:val="22"/>
          <w:szCs w:val="22"/>
        </w:rPr>
      </w:pPr>
    </w:p>
    <w:p w:rsidR="004F189E" w:rsidRDefault="004F189E" w:rsidP="00BF20BD">
      <w:pPr>
        <w:autoSpaceDE w:val="0"/>
        <w:autoSpaceDN w:val="0"/>
        <w:adjustRightInd w:val="0"/>
        <w:spacing w:before="100" w:after="100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>Nella serata del 6 dicembre saranno accesi i nuovi impianti</w:t>
      </w:r>
      <w:r w:rsidR="000A38C5">
        <w:rPr>
          <w:rFonts w:ascii="Arial Narrow" w:hAnsi="Arial Narrow" w:cs="Arial Narrow"/>
          <w:b/>
          <w:sz w:val="22"/>
          <w:szCs w:val="22"/>
        </w:rPr>
        <w:t xml:space="preserve"> di pubblica illuminazione di </w:t>
      </w:r>
      <w:r>
        <w:rPr>
          <w:rFonts w:ascii="Arial Narrow" w:hAnsi="Arial Narrow" w:cs="Arial Narrow"/>
          <w:b/>
          <w:sz w:val="22"/>
          <w:szCs w:val="22"/>
        </w:rPr>
        <w:t xml:space="preserve">Piazza XXIV Maggio, </w:t>
      </w:r>
      <w:r w:rsidRPr="004F189E">
        <w:rPr>
          <w:rFonts w:ascii="Arial Narrow" w:hAnsi="Arial Narrow" w:cs="Arial Narrow"/>
          <w:b/>
          <w:sz w:val="22"/>
          <w:szCs w:val="22"/>
        </w:rPr>
        <w:t>Via Agnelli, Via Pola, Via Gorizia, Via Martinelli e Viale dei Mille</w:t>
      </w:r>
      <w:r>
        <w:rPr>
          <w:rFonts w:ascii="Arial Narrow" w:hAnsi="Arial Narrow" w:cs="Arial Narrow"/>
          <w:b/>
          <w:sz w:val="22"/>
          <w:szCs w:val="22"/>
        </w:rPr>
        <w:t>.</w:t>
      </w:r>
    </w:p>
    <w:p w:rsidR="00AE7790" w:rsidRDefault="000A38C5" w:rsidP="00BF20BD">
      <w:pPr>
        <w:autoSpaceDE w:val="0"/>
        <w:autoSpaceDN w:val="0"/>
        <w:adjustRightInd w:val="0"/>
        <w:spacing w:before="100" w:after="10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L’intervento </w:t>
      </w:r>
      <w:r w:rsidR="004F189E">
        <w:rPr>
          <w:rFonts w:ascii="Arial Narrow" w:hAnsi="Arial Narrow" w:cs="Arial Narrow"/>
          <w:sz w:val="22"/>
          <w:szCs w:val="22"/>
        </w:rPr>
        <w:t xml:space="preserve">rappresenta la prima parte dei </w:t>
      </w:r>
      <w:r w:rsidR="004F189E" w:rsidRPr="004F189E">
        <w:rPr>
          <w:rFonts w:ascii="Arial Narrow" w:hAnsi="Arial Narrow" w:cs="Arial Narrow"/>
          <w:sz w:val="22"/>
          <w:szCs w:val="22"/>
        </w:rPr>
        <w:t>“lavori di rifacimento degli impianti di pubblica illuminazione di Piazza XXIV Maggio, Via Agnelli, Via Pola, Viale dei Mille, Via Martinelli, Via Gorizia, Via Fiume, Via Pasubio, Corso Piave”</w:t>
      </w:r>
      <w:r w:rsidR="004F189E">
        <w:rPr>
          <w:rFonts w:ascii="Arial Narrow" w:hAnsi="Arial Narrow" w:cs="Arial Narrow"/>
          <w:sz w:val="22"/>
          <w:szCs w:val="22"/>
        </w:rPr>
        <w:t xml:space="preserve">, e ha previsto il totale rifacimento di </w:t>
      </w:r>
      <w:r w:rsidR="00A2575D" w:rsidRPr="00AE7790">
        <w:rPr>
          <w:rFonts w:ascii="Arial Narrow" w:hAnsi="Arial Narrow" w:cs="Arial Narrow"/>
          <w:b/>
          <w:sz w:val="22"/>
          <w:szCs w:val="22"/>
        </w:rPr>
        <w:t xml:space="preserve">n. </w:t>
      </w:r>
      <w:r w:rsidR="004F189E" w:rsidRPr="00AE7790">
        <w:rPr>
          <w:rFonts w:ascii="Arial Narrow" w:hAnsi="Arial Narrow" w:cs="Arial Narrow"/>
          <w:b/>
          <w:sz w:val="22"/>
          <w:szCs w:val="22"/>
        </w:rPr>
        <w:t>79</w:t>
      </w:r>
      <w:r w:rsidR="00AE7790" w:rsidRPr="00AE7790">
        <w:rPr>
          <w:rFonts w:ascii="Arial Narrow" w:hAnsi="Arial Narrow" w:cs="Arial Narrow"/>
          <w:b/>
          <w:sz w:val="22"/>
          <w:szCs w:val="22"/>
        </w:rPr>
        <w:t xml:space="preserve"> punti luce,</w:t>
      </w:r>
      <w:r w:rsidR="00AE7790">
        <w:rPr>
          <w:rFonts w:ascii="Arial Narrow" w:hAnsi="Arial Narrow" w:cs="Arial Narrow"/>
          <w:sz w:val="22"/>
          <w:szCs w:val="22"/>
        </w:rPr>
        <w:t xml:space="preserve"> </w:t>
      </w:r>
      <w:r w:rsidR="00AE7790" w:rsidRPr="007E5BA4">
        <w:rPr>
          <w:rFonts w:ascii="Arial Narrow" w:hAnsi="Arial Narrow" w:cs="Arial Narrow"/>
          <w:sz w:val="22"/>
          <w:szCs w:val="22"/>
        </w:rPr>
        <w:t xml:space="preserve">con il passaggio da alimentazione di tipo "serie" ad alimentazione di tipo in "derivazione". </w:t>
      </w:r>
    </w:p>
    <w:p w:rsidR="00AD3F9C" w:rsidRPr="00094F95" w:rsidRDefault="00AE7790" w:rsidP="00AD3F9C">
      <w:pPr>
        <w:autoSpaceDE w:val="0"/>
        <w:autoSpaceDN w:val="0"/>
        <w:adjustRightInd w:val="0"/>
        <w:spacing w:before="100" w:after="100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I nuovi impianti sono costituiti da </w:t>
      </w:r>
      <w:r w:rsidRPr="003937CA">
        <w:rPr>
          <w:rFonts w:ascii="Arial Narrow" w:hAnsi="Arial Narrow" w:cs="Arial Narrow"/>
          <w:sz w:val="22"/>
          <w:szCs w:val="22"/>
        </w:rPr>
        <w:t xml:space="preserve">apparecchi </w:t>
      </w:r>
      <w:r>
        <w:rPr>
          <w:rFonts w:ascii="Arial Narrow" w:hAnsi="Arial Narrow" w:cs="Arial Narrow"/>
          <w:sz w:val="22"/>
          <w:szCs w:val="22"/>
        </w:rPr>
        <w:t xml:space="preserve">stradali e per arredo urbano, installati su sostegni in acciaio zincato verniciato, </w:t>
      </w:r>
      <w:r w:rsidRPr="003937CA">
        <w:rPr>
          <w:rFonts w:ascii="Arial Narrow" w:hAnsi="Arial Narrow" w:cs="Arial Narrow"/>
          <w:sz w:val="22"/>
          <w:szCs w:val="22"/>
        </w:rPr>
        <w:t xml:space="preserve">dotati di lampade </w:t>
      </w:r>
      <w:r>
        <w:rPr>
          <w:rFonts w:ascii="Arial Narrow" w:hAnsi="Arial Narrow" w:cs="Arial Narrow"/>
          <w:sz w:val="22"/>
          <w:szCs w:val="22"/>
        </w:rPr>
        <w:t xml:space="preserve">a Led </w:t>
      </w:r>
      <w:r w:rsidRPr="00AE7790">
        <w:rPr>
          <w:rFonts w:ascii="Arial Narrow" w:hAnsi="Arial Narrow" w:cs="Arial Narrow"/>
          <w:sz w:val="22"/>
          <w:szCs w:val="22"/>
        </w:rPr>
        <w:t>di diversa potenza, ad alta efficienza luminosa,</w:t>
      </w:r>
      <w:r w:rsidR="000F6468">
        <w:rPr>
          <w:rFonts w:ascii="Arial Narrow" w:hAnsi="Arial Narrow" w:cs="Arial Narrow"/>
          <w:sz w:val="22"/>
          <w:szCs w:val="22"/>
        </w:rPr>
        <w:t xml:space="preserve"> con temperatura di colore pari a 3000°K,</w:t>
      </w:r>
      <w:r w:rsidRPr="00AE7790">
        <w:rPr>
          <w:rFonts w:ascii="Arial Narrow" w:hAnsi="Arial Narrow" w:cs="Arial Narrow"/>
          <w:sz w:val="22"/>
          <w:szCs w:val="22"/>
        </w:rPr>
        <w:t xml:space="preserve"> rispondenti a quanto prescritto dalla Legge Regionale n.19 del 29/09/2003</w:t>
      </w:r>
      <w:r w:rsidR="00AD3F9C">
        <w:rPr>
          <w:rFonts w:ascii="Arial Narrow" w:hAnsi="Arial Narrow" w:cs="Arial Narrow"/>
          <w:sz w:val="22"/>
          <w:szCs w:val="22"/>
        </w:rPr>
        <w:t xml:space="preserve"> e del DGR 1732 del 12/11/2015, dotati di sistema di dimmerazione per la riduzione dell’intensità luminosa nelle ore centrali della notte. </w:t>
      </w:r>
    </w:p>
    <w:p w:rsidR="00AD3F9C" w:rsidRDefault="00AD3F9C" w:rsidP="00AE7790">
      <w:pPr>
        <w:autoSpaceDE w:val="0"/>
        <w:autoSpaceDN w:val="0"/>
        <w:adjustRightInd w:val="0"/>
        <w:spacing w:before="100" w:after="10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Gli apparecchi hanno </w:t>
      </w:r>
      <w:r w:rsidR="00AE7790" w:rsidRPr="00AE7790">
        <w:rPr>
          <w:rFonts w:ascii="Arial Narrow" w:hAnsi="Arial Narrow" w:cs="Arial Narrow"/>
          <w:sz w:val="22"/>
          <w:szCs w:val="22"/>
        </w:rPr>
        <w:t xml:space="preserve">indice </w:t>
      </w:r>
      <w:r w:rsidR="00AE7790" w:rsidRPr="00AE7790">
        <w:rPr>
          <w:rFonts w:ascii="Arial Narrow" w:hAnsi="Arial Narrow" w:cs="Arial Narrow"/>
          <w:b/>
          <w:sz w:val="22"/>
          <w:szCs w:val="22"/>
        </w:rPr>
        <w:t>IPEA corrispondente alla classe "A++</w:t>
      </w:r>
      <w:r w:rsidR="00AE7790">
        <w:rPr>
          <w:rFonts w:ascii="Arial Narrow" w:hAnsi="Arial Narrow" w:cs="Arial Narrow"/>
          <w:sz w:val="22"/>
          <w:szCs w:val="22"/>
        </w:rPr>
        <w:t xml:space="preserve">". </w:t>
      </w:r>
    </w:p>
    <w:p w:rsidR="00AE7790" w:rsidRPr="00AE7790" w:rsidRDefault="00AE7790" w:rsidP="00AE7790">
      <w:pPr>
        <w:autoSpaceDE w:val="0"/>
        <w:autoSpaceDN w:val="0"/>
        <w:adjustRightInd w:val="0"/>
        <w:spacing w:before="100" w:after="100"/>
        <w:rPr>
          <w:b/>
        </w:rPr>
      </w:pPr>
      <w:r>
        <w:rPr>
          <w:rFonts w:ascii="Arial Narrow" w:hAnsi="Arial Narrow" w:cs="Arial Narrow"/>
          <w:sz w:val="22"/>
          <w:szCs w:val="22"/>
        </w:rPr>
        <w:t>L</w:t>
      </w:r>
      <w:r w:rsidRPr="00AE7790">
        <w:rPr>
          <w:rFonts w:ascii="Arial Narrow" w:hAnsi="Arial Narrow" w:cs="Arial Narrow"/>
          <w:sz w:val="22"/>
          <w:szCs w:val="22"/>
        </w:rPr>
        <w:t xml:space="preserve">'impianto </w:t>
      </w:r>
      <w:r>
        <w:rPr>
          <w:rFonts w:ascii="Arial Narrow" w:hAnsi="Arial Narrow" w:cs="Arial Narrow"/>
          <w:sz w:val="22"/>
          <w:szCs w:val="22"/>
        </w:rPr>
        <w:t>ha</w:t>
      </w:r>
      <w:r w:rsidRPr="00AE7790">
        <w:rPr>
          <w:rFonts w:ascii="Arial Narrow" w:hAnsi="Arial Narrow" w:cs="Arial Narrow"/>
          <w:sz w:val="22"/>
          <w:szCs w:val="22"/>
        </w:rPr>
        <w:t xml:space="preserve"> indice </w:t>
      </w:r>
      <w:r w:rsidRPr="00AE7790">
        <w:rPr>
          <w:rFonts w:ascii="Arial Narrow" w:hAnsi="Arial Narrow" w:cs="Arial Narrow"/>
          <w:b/>
          <w:sz w:val="22"/>
          <w:szCs w:val="22"/>
        </w:rPr>
        <w:t>IPEI corrispondente alla classe "A++".</w:t>
      </w:r>
      <w:r w:rsidRPr="00AE7790">
        <w:rPr>
          <w:rFonts w:ascii="Arial Narrow" w:hAnsi="Arial Narrow" w:cs="Arial Narrow"/>
          <w:b/>
          <w:color w:val="000000"/>
          <w:sz w:val="28"/>
          <w:szCs w:val="28"/>
        </w:rPr>
        <w:t xml:space="preserve"> </w:t>
      </w:r>
    </w:p>
    <w:p w:rsidR="000F6468" w:rsidRDefault="006F74B6" w:rsidP="006F74B6">
      <w:pPr>
        <w:autoSpaceDE w:val="0"/>
        <w:autoSpaceDN w:val="0"/>
        <w:adjustRightInd w:val="0"/>
        <w:spacing w:before="100" w:after="100"/>
        <w:rPr>
          <w:rFonts w:ascii="Arial Narrow" w:hAnsi="Arial Narrow" w:cs="Arial Narrow"/>
          <w:sz w:val="22"/>
          <w:szCs w:val="22"/>
        </w:rPr>
      </w:pPr>
      <w:r w:rsidRPr="006F74B6">
        <w:rPr>
          <w:rFonts w:ascii="Arial Narrow" w:hAnsi="Arial Narrow" w:cs="Arial Narrow"/>
          <w:sz w:val="22"/>
          <w:szCs w:val="22"/>
        </w:rPr>
        <w:t xml:space="preserve">Il nuovo impianto </w:t>
      </w:r>
      <w:r w:rsidR="000F6468">
        <w:rPr>
          <w:rFonts w:ascii="Arial Narrow" w:hAnsi="Arial Narrow" w:cs="Arial Narrow"/>
          <w:sz w:val="22"/>
          <w:szCs w:val="22"/>
        </w:rPr>
        <w:t>garantirà</w:t>
      </w:r>
      <w:r w:rsidR="00583481">
        <w:rPr>
          <w:rFonts w:ascii="Arial Narrow" w:hAnsi="Arial Narrow" w:cs="Arial Narrow"/>
          <w:sz w:val="22"/>
          <w:szCs w:val="22"/>
        </w:rPr>
        <w:t>, grazie ad un adeguato livello di illuminamento</w:t>
      </w:r>
      <w:r w:rsidR="000F6468">
        <w:rPr>
          <w:rFonts w:ascii="Arial Narrow" w:hAnsi="Arial Narrow" w:cs="Arial Narrow"/>
          <w:sz w:val="22"/>
          <w:szCs w:val="22"/>
        </w:rPr>
        <w:t>, all’elevata resa cromatica delle sorgenti a Led e ad una accurata scelta delle ottiche</w:t>
      </w:r>
      <w:r>
        <w:rPr>
          <w:rFonts w:ascii="Arial Narrow" w:hAnsi="Arial Narrow" w:cs="Arial Narrow"/>
          <w:sz w:val="22"/>
          <w:szCs w:val="22"/>
        </w:rPr>
        <w:t xml:space="preserve">, un ottima illuminazione </w:t>
      </w:r>
      <w:r w:rsidR="000F6468">
        <w:rPr>
          <w:rFonts w:ascii="Arial Narrow" w:hAnsi="Arial Narrow" w:cs="Arial Narrow"/>
          <w:sz w:val="22"/>
          <w:szCs w:val="22"/>
        </w:rPr>
        <w:t>della figura favorendo la</w:t>
      </w:r>
      <w:r>
        <w:rPr>
          <w:rFonts w:ascii="Arial Narrow" w:hAnsi="Arial Narrow" w:cs="Arial Narrow"/>
          <w:sz w:val="22"/>
          <w:szCs w:val="22"/>
        </w:rPr>
        <w:t xml:space="preserve"> percezione </w:t>
      </w:r>
      <w:r w:rsidR="006258AA">
        <w:rPr>
          <w:rFonts w:ascii="Arial Narrow" w:hAnsi="Arial Narrow" w:cs="Arial Narrow"/>
          <w:sz w:val="22"/>
          <w:szCs w:val="22"/>
        </w:rPr>
        <w:t xml:space="preserve">di sicurezza della zona. </w:t>
      </w:r>
    </w:p>
    <w:p w:rsidR="007E5BA4" w:rsidRDefault="006258AA" w:rsidP="006F74B6">
      <w:pPr>
        <w:autoSpaceDE w:val="0"/>
        <w:autoSpaceDN w:val="0"/>
        <w:adjustRightInd w:val="0"/>
        <w:spacing w:before="100" w:after="10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Nonostante l’aumento del livello di illuminamento, l’utilizzo di apparecchi Led di </w:t>
      </w:r>
      <w:r w:rsidR="00583481">
        <w:rPr>
          <w:rFonts w:ascii="Arial Narrow" w:hAnsi="Arial Narrow" w:cs="Arial Narrow"/>
          <w:sz w:val="22"/>
          <w:szCs w:val="22"/>
        </w:rPr>
        <w:t>ultima generazione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="00AD3F9C">
        <w:rPr>
          <w:rFonts w:ascii="Arial Narrow" w:hAnsi="Arial Narrow" w:cs="Arial Narrow"/>
          <w:sz w:val="22"/>
          <w:szCs w:val="22"/>
        </w:rPr>
        <w:t>permetterà</w:t>
      </w:r>
      <w:r>
        <w:rPr>
          <w:rFonts w:ascii="Arial Narrow" w:hAnsi="Arial Narrow" w:cs="Arial Narrow"/>
          <w:sz w:val="22"/>
          <w:szCs w:val="22"/>
        </w:rPr>
        <w:t xml:space="preserve"> un risparmio energetico </w:t>
      </w:r>
      <w:r w:rsidR="00F00E83">
        <w:rPr>
          <w:rFonts w:ascii="Arial Narrow" w:hAnsi="Arial Narrow" w:cs="Arial Narrow"/>
          <w:sz w:val="22"/>
          <w:szCs w:val="22"/>
        </w:rPr>
        <w:t>par</w:t>
      </w:r>
      <w:r>
        <w:rPr>
          <w:rFonts w:ascii="Arial Narrow" w:hAnsi="Arial Narrow" w:cs="Arial Narrow"/>
          <w:sz w:val="22"/>
          <w:szCs w:val="22"/>
        </w:rPr>
        <w:t xml:space="preserve">i </w:t>
      </w:r>
      <w:r w:rsidR="00F00E83">
        <w:rPr>
          <w:rFonts w:ascii="Arial Narrow" w:hAnsi="Arial Narrow" w:cs="Arial Narrow"/>
          <w:sz w:val="22"/>
          <w:szCs w:val="22"/>
        </w:rPr>
        <w:t xml:space="preserve">a </w:t>
      </w:r>
      <w:r>
        <w:rPr>
          <w:rFonts w:ascii="Arial Narrow" w:hAnsi="Arial Narrow" w:cs="Arial Narrow"/>
          <w:sz w:val="22"/>
          <w:szCs w:val="22"/>
        </w:rPr>
        <w:t xml:space="preserve">circa il </w:t>
      </w:r>
      <w:r w:rsidR="000F6468">
        <w:rPr>
          <w:rFonts w:ascii="Arial Narrow" w:hAnsi="Arial Narrow" w:cs="Arial Narrow"/>
          <w:sz w:val="22"/>
          <w:szCs w:val="22"/>
        </w:rPr>
        <w:t>70</w:t>
      </w:r>
      <w:r>
        <w:rPr>
          <w:rFonts w:ascii="Arial Narrow" w:hAnsi="Arial Narrow" w:cs="Arial Narrow"/>
          <w:sz w:val="22"/>
          <w:szCs w:val="22"/>
        </w:rPr>
        <w:t xml:space="preserve">% rispetto al vecchio impianto. </w:t>
      </w:r>
    </w:p>
    <w:p w:rsidR="00AD3F9C" w:rsidRPr="00803520" w:rsidRDefault="00AD3F9C" w:rsidP="00AD3F9C">
      <w:pPr>
        <w:autoSpaceDE w:val="0"/>
        <w:autoSpaceDN w:val="0"/>
        <w:adjustRightInd w:val="0"/>
        <w:spacing w:before="100" w:after="10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Il rifacimento dell’impianto ha previsto, oltre alla realizzazione dei nuovi punti luce, </w:t>
      </w:r>
      <w:r w:rsidRPr="00803520">
        <w:rPr>
          <w:rFonts w:ascii="Arial Narrow" w:hAnsi="Arial Narrow" w:cs="Arial Narrow"/>
          <w:sz w:val="22"/>
          <w:szCs w:val="22"/>
        </w:rPr>
        <w:t>il totale rifacimento dei quadri elettrici di alimentazione, delle linee</w:t>
      </w:r>
      <w:r>
        <w:rPr>
          <w:rFonts w:ascii="Arial Narrow" w:hAnsi="Arial Narrow" w:cs="Arial Narrow"/>
          <w:sz w:val="22"/>
          <w:szCs w:val="22"/>
        </w:rPr>
        <w:t xml:space="preserve"> di alimentazione</w:t>
      </w:r>
      <w:r w:rsidRPr="00803520"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e</w:t>
      </w:r>
      <w:r w:rsidRPr="00803520">
        <w:rPr>
          <w:rFonts w:ascii="Arial Narrow" w:hAnsi="Arial Narrow" w:cs="Arial Narrow"/>
          <w:sz w:val="22"/>
          <w:szCs w:val="22"/>
        </w:rPr>
        <w:t xml:space="preserve"> l'esecuzione di tutte le opere civili quali scavi, plinti, pozzetti, ripristini del manto stradale. </w:t>
      </w:r>
    </w:p>
    <w:p w:rsidR="000F6468" w:rsidRPr="000F6468" w:rsidRDefault="00901C6F" w:rsidP="000F6468">
      <w:pPr>
        <w:autoSpaceDE w:val="0"/>
        <w:autoSpaceDN w:val="0"/>
        <w:adjustRightInd w:val="0"/>
        <w:spacing w:before="100" w:after="10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 lavori proseguiranno con il rifacimento della pubblica illuminazione delle vie</w:t>
      </w:r>
      <w:r w:rsidR="000F6468" w:rsidRPr="00AD3F9C">
        <w:rPr>
          <w:rFonts w:ascii="Arial Narrow" w:hAnsi="Arial Narrow" w:cs="Arial Narrow"/>
          <w:sz w:val="22"/>
          <w:szCs w:val="22"/>
        </w:rPr>
        <w:t xml:space="preserve"> </w:t>
      </w:r>
      <w:r w:rsidR="00FC0AC0">
        <w:rPr>
          <w:rFonts w:ascii="Arial Narrow" w:hAnsi="Arial Narrow" w:cs="Arial Narrow"/>
          <w:sz w:val="22"/>
          <w:szCs w:val="22"/>
        </w:rPr>
        <w:t xml:space="preserve">Fiume, Via Pasubio e </w:t>
      </w:r>
      <w:r w:rsidR="000F6468" w:rsidRPr="000F6468">
        <w:rPr>
          <w:rFonts w:ascii="Arial Narrow" w:hAnsi="Arial Narrow" w:cs="Arial Narrow"/>
          <w:sz w:val="22"/>
          <w:szCs w:val="22"/>
        </w:rPr>
        <w:t xml:space="preserve">Corso Piave. </w:t>
      </w:r>
    </w:p>
    <w:p w:rsidR="00AD3F9C" w:rsidRPr="00AD3F9C" w:rsidRDefault="00AD3F9C" w:rsidP="00AD3F9C">
      <w:pPr>
        <w:autoSpaceDE w:val="0"/>
        <w:autoSpaceDN w:val="0"/>
        <w:adjustRightInd w:val="0"/>
        <w:spacing w:before="100" w:after="100"/>
        <w:rPr>
          <w:rFonts w:ascii="Arial Narrow" w:hAnsi="Arial Narrow" w:cs="Arial Narrow"/>
          <w:sz w:val="22"/>
          <w:szCs w:val="22"/>
        </w:rPr>
      </w:pPr>
      <w:r w:rsidRPr="00AD3F9C">
        <w:rPr>
          <w:rFonts w:ascii="Arial Narrow" w:hAnsi="Arial Narrow" w:cs="Arial Narrow"/>
          <w:sz w:val="22"/>
          <w:szCs w:val="22"/>
        </w:rPr>
        <w:t xml:space="preserve">I lavori sono stati realizzati da Hera Luce, nell’ambito dei lavori di manutenzione straordinaria del contratto di servizi. </w:t>
      </w:r>
    </w:p>
    <w:p w:rsidR="006F74B6" w:rsidRDefault="006F74B6" w:rsidP="000F6468">
      <w:pPr>
        <w:autoSpaceDE w:val="0"/>
        <w:autoSpaceDN w:val="0"/>
        <w:adjustRightInd w:val="0"/>
        <w:spacing w:before="100" w:after="100"/>
        <w:rPr>
          <w:sz w:val="22"/>
          <w:szCs w:val="22"/>
        </w:rPr>
      </w:pPr>
    </w:p>
    <w:p w:rsidR="00901C6F" w:rsidRPr="00803520" w:rsidRDefault="00901C6F" w:rsidP="00F00E83">
      <w:pPr>
        <w:autoSpaceDE w:val="0"/>
        <w:autoSpaceDN w:val="0"/>
        <w:adjustRightInd w:val="0"/>
        <w:spacing w:before="100" w:after="100"/>
        <w:rPr>
          <w:rFonts w:ascii="Arial Narrow" w:hAnsi="Arial Narrow" w:cs="Arial Narrow"/>
          <w:sz w:val="22"/>
          <w:szCs w:val="22"/>
        </w:rPr>
      </w:pPr>
    </w:p>
    <w:sectPr w:rsidR="00901C6F" w:rsidRPr="00803520" w:rsidSect="00D53944">
      <w:footerReference w:type="default" r:id="rId7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FDA" w:rsidRDefault="00BD1FDA" w:rsidP="00D53944">
      <w:r>
        <w:separator/>
      </w:r>
    </w:p>
  </w:endnote>
  <w:endnote w:type="continuationSeparator" w:id="1">
    <w:p w:rsidR="00BD1FDA" w:rsidRDefault="00BD1FDA" w:rsidP="00D539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807"/>
      <w:docPartObj>
        <w:docPartGallery w:val="Page Numbers (Bottom of Page)"/>
        <w:docPartUnique/>
      </w:docPartObj>
    </w:sdtPr>
    <w:sdtContent>
      <w:p w:rsidR="009446CE" w:rsidRDefault="000B7042">
        <w:pPr>
          <w:pStyle w:val="Pidipagina"/>
          <w:jc w:val="right"/>
        </w:pPr>
        <w:fldSimple w:instr=" PAGE   \* MERGEFORMAT ">
          <w:r w:rsidR="00AD3F9C">
            <w:rPr>
              <w:noProof/>
            </w:rPr>
            <w:t>1</w:t>
          </w:r>
        </w:fldSimple>
      </w:p>
    </w:sdtContent>
  </w:sdt>
  <w:p w:rsidR="009446CE" w:rsidRDefault="009446C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FDA" w:rsidRDefault="00BD1FDA" w:rsidP="00D53944">
      <w:r>
        <w:separator/>
      </w:r>
    </w:p>
  </w:footnote>
  <w:footnote w:type="continuationSeparator" w:id="1">
    <w:p w:rsidR="00BD1FDA" w:rsidRDefault="00BD1FDA" w:rsidP="00D539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11D6"/>
    <w:multiLevelType w:val="hybridMultilevel"/>
    <w:tmpl w:val="721291F4"/>
    <w:lvl w:ilvl="0" w:tplc="D60C21B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Arial Narrow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A0E9E"/>
    <w:multiLevelType w:val="hybridMultilevel"/>
    <w:tmpl w:val="9F7CDAF2"/>
    <w:lvl w:ilvl="0" w:tplc="F1668B4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24BEB"/>
    <w:multiLevelType w:val="hybridMultilevel"/>
    <w:tmpl w:val="55F0452E"/>
    <w:lvl w:ilvl="0" w:tplc="08480E0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C9D5AC0"/>
    <w:multiLevelType w:val="hybridMultilevel"/>
    <w:tmpl w:val="709ECA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0F4B58"/>
    <w:multiLevelType w:val="hybridMultilevel"/>
    <w:tmpl w:val="544202F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72AD0"/>
    <w:multiLevelType w:val="hybridMultilevel"/>
    <w:tmpl w:val="AC024BA6"/>
    <w:lvl w:ilvl="0" w:tplc="AA0AB05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E57BF2"/>
    <w:multiLevelType w:val="hybridMultilevel"/>
    <w:tmpl w:val="73BEDD8E"/>
    <w:lvl w:ilvl="0" w:tplc="54CEB9F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Arial Narrow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321267"/>
    <w:multiLevelType w:val="hybridMultilevel"/>
    <w:tmpl w:val="C6620F4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9815AE"/>
    <w:multiLevelType w:val="hybridMultilevel"/>
    <w:tmpl w:val="2898C9A8"/>
    <w:lvl w:ilvl="0" w:tplc="48820D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stylePaneFormatFilter w:val="3F0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E30"/>
    <w:rsid w:val="00081B7E"/>
    <w:rsid w:val="00094F95"/>
    <w:rsid w:val="000A362E"/>
    <w:rsid w:val="000A38C5"/>
    <w:rsid w:val="000B7042"/>
    <w:rsid w:val="000C09AD"/>
    <w:rsid w:val="000C4EAE"/>
    <w:rsid w:val="000D07D4"/>
    <w:rsid w:val="000F6468"/>
    <w:rsid w:val="00107D1E"/>
    <w:rsid w:val="00175CA9"/>
    <w:rsid w:val="00196BA9"/>
    <w:rsid w:val="001B035C"/>
    <w:rsid w:val="001B5F3D"/>
    <w:rsid w:val="00240244"/>
    <w:rsid w:val="0024659E"/>
    <w:rsid w:val="002757A6"/>
    <w:rsid w:val="002B3E30"/>
    <w:rsid w:val="002B6126"/>
    <w:rsid w:val="00302CB4"/>
    <w:rsid w:val="00325A36"/>
    <w:rsid w:val="00362A97"/>
    <w:rsid w:val="00383B6D"/>
    <w:rsid w:val="003937CA"/>
    <w:rsid w:val="00404473"/>
    <w:rsid w:val="00411FF3"/>
    <w:rsid w:val="004C0A7F"/>
    <w:rsid w:val="004E4D6B"/>
    <w:rsid w:val="004F189E"/>
    <w:rsid w:val="00545682"/>
    <w:rsid w:val="00583481"/>
    <w:rsid w:val="005E73C7"/>
    <w:rsid w:val="00610F93"/>
    <w:rsid w:val="006137D7"/>
    <w:rsid w:val="00615A22"/>
    <w:rsid w:val="00622C56"/>
    <w:rsid w:val="00624479"/>
    <w:rsid w:val="006258AA"/>
    <w:rsid w:val="00637B68"/>
    <w:rsid w:val="00643C15"/>
    <w:rsid w:val="00677B68"/>
    <w:rsid w:val="006F74B6"/>
    <w:rsid w:val="00753D30"/>
    <w:rsid w:val="00766664"/>
    <w:rsid w:val="007E34A1"/>
    <w:rsid w:val="007E5BA4"/>
    <w:rsid w:val="007F2C0C"/>
    <w:rsid w:val="00803520"/>
    <w:rsid w:val="00825ED2"/>
    <w:rsid w:val="00884E7F"/>
    <w:rsid w:val="0089165B"/>
    <w:rsid w:val="008F1669"/>
    <w:rsid w:val="00901C6F"/>
    <w:rsid w:val="00930457"/>
    <w:rsid w:val="009446CE"/>
    <w:rsid w:val="00952029"/>
    <w:rsid w:val="009D410A"/>
    <w:rsid w:val="00A2575D"/>
    <w:rsid w:val="00A60659"/>
    <w:rsid w:val="00A85050"/>
    <w:rsid w:val="00AB25D4"/>
    <w:rsid w:val="00AD210A"/>
    <w:rsid w:val="00AD3F9C"/>
    <w:rsid w:val="00AE1ED0"/>
    <w:rsid w:val="00AE358D"/>
    <w:rsid w:val="00AE7790"/>
    <w:rsid w:val="00B7025C"/>
    <w:rsid w:val="00BB2511"/>
    <w:rsid w:val="00BD1FDA"/>
    <w:rsid w:val="00BF20BD"/>
    <w:rsid w:val="00C025B2"/>
    <w:rsid w:val="00C54EA9"/>
    <w:rsid w:val="00CD6A35"/>
    <w:rsid w:val="00D2761A"/>
    <w:rsid w:val="00D30306"/>
    <w:rsid w:val="00D333BA"/>
    <w:rsid w:val="00D53944"/>
    <w:rsid w:val="00D54AD2"/>
    <w:rsid w:val="00DC27D6"/>
    <w:rsid w:val="00DF19F2"/>
    <w:rsid w:val="00E06F54"/>
    <w:rsid w:val="00EC1189"/>
    <w:rsid w:val="00EC2AD0"/>
    <w:rsid w:val="00F00E83"/>
    <w:rsid w:val="00F82569"/>
    <w:rsid w:val="00F866DE"/>
    <w:rsid w:val="00FA76FA"/>
    <w:rsid w:val="00FC0AC0"/>
    <w:rsid w:val="00FC721F"/>
    <w:rsid w:val="00FD3607"/>
    <w:rsid w:val="00FD49EF"/>
    <w:rsid w:val="00FF4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62A9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7B68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D5394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53944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D5394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3944"/>
    <w:rPr>
      <w:sz w:val="24"/>
      <w:szCs w:val="24"/>
    </w:rPr>
  </w:style>
  <w:style w:type="paragraph" w:styleId="NormaleWeb">
    <w:name w:val="Normal (Web)"/>
    <w:basedOn w:val="Normale"/>
    <w:rsid w:val="00196BA9"/>
    <w:pPr>
      <w:spacing w:before="100" w:beforeAutospacing="1" w:after="100" w:afterAutospacing="1"/>
    </w:pPr>
  </w:style>
  <w:style w:type="paragraph" w:styleId="Corpodeltesto">
    <w:name w:val="Body Text"/>
    <w:basedOn w:val="Normale"/>
    <w:link w:val="CorpodeltestoCarattere"/>
    <w:rsid w:val="00094F95"/>
    <w:pPr>
      <w:spacing w:line="240" w:lineRule="atLeast"/>
      <w:jc w:val="both"/>
    </w:pPr>
    <w:rPr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094F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3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Pubblica illuminazione anno 2012</vt:lpstr>
    </vt:vector>
  </TitlesOfParts>
  <Company>Comune di Ferrara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Pubblica illuminazione anno 2012</dc:title>
  <dc:creator>Mary Minotti</dc:creator>
  <cp:lastModifiedBy>Minotti Mary</cp:lastModifiedBy>
  <cp:revision>4</cp:revision>
  <cp:lastPrinted>2012-12-12T08:53:00Z</cp:lastPrinted>
  <dcterms:created xsi:type="dcterms:W3CDTF">2017-11-30T15:44:00Z</dcterms:created>
  <dcterms:modified xsi:type="dcterms:W3CDTF">2017-11-30T16:19:00Z</dcterms:modified>
</cp:coreProperties>
</file>