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451" w:rsidRDefault="00013451" w:rsidP="005A103E">
      <w:pPr>
        <w:pStyle w:val="Corpodeltesto"/>
        <w:rPr>
          <w:b/>
          <w:bCs/>
          <w:szCs w:val="24"/>
        </w:rPr>
      </w:pPr>
    </w:p>
    <w:p w:rsidR="00013451" w:rsidRDefault="00013451" w:rsidP="005A103E">
      <w:pPr>
        <w:pStyle w:val="Corpodeltesto"/>
        <w:rPr>
          <w:b/>
          <w:bCs/>
          <w:szCs w:val="24"/>
        </w:rPr>
      </w:pPr>
    </w:p>
    <w:p w:rsidR="005A103E" w:rsidRDefault="005A103E" w:rsidP="005A103E">
      <w:pPr>
        <w:pStyle w:val="Corpodeltesto"/>
        <w:rPr>
          <w:b/>
          <w:bCs/>
          <w:szCs w:val="24"/>
        </w:rPr>
      </w:pPr>
      <w:r>
        <w:rPr>
          <w:b/>
          <w:bCs/>
          <w:szCs w:val="24"/>
        </w:rPr>
        <w:t>VARIAZIONI AL BILANCIO DI PREVISIONE 2021-2023  DELL’ISTITUZIONE DEI SERVIZI EDUCATIVI, SCOLASTICI E PER LE FAMIGLIE. MANTENIMENTO DEGLI EQUILIBRI DEL BILANCIO DI PREVISIONE 2021-2023.</w:t>
      </w:r>
    </w:p>
    <w:p w:rsidR="00566CAA" w:rsidRDefault="00566CAA" w:rsidP="005A103E">
      <w:pPr>
        <w:pStyle w:val="Corpodeltesto"/>
        <w:rPr>
          <w:b/>
          <w:szCs w:val="24"/>
        </w:rPr>
      </w:pPr>
    </w:p>
    <w:p w:rsidR="00013451" w:rsidRPr="001750C3" w:rsidRDefault="00013451" w:rsidP="005A103E">
      <w:pPr>
        <w:pStyle w:val="Corpodeltesto"/>
        <w:rPr>
          <w:b/>
          <w:szCs w:val="24"/>
        </w:rPr>
      </w:pPr>
    </w:p>
    <w:p w:rsidR="00A0628D" w:rsidRPr="001750C3" w:rsidRDefault="00A0628D" w:rsidP="00A0628D">
      <w:pPr>
        <w:pStyle w:val="Corpodeltesto"/>
        <w:jc w:val="center"/>
        <w:outlineLvl w:val="0"/>
        <w:rPr>
          <w:b/>
          <w:szCs w:val="24"/>
        </w:rPr>
      </w:pPr>
      <w:r w:rsidRPr="001750C3">
        <w:rPr>
          <w:b/>
          <w:szCs w:val="24"/>
        </w:rPr>
        <w:t>IL CONSIGLIO COMUNALE</w:t>
      </w:r>
    </w:p>
    <w:p w:rsidR="00A0628D" w:rsidRDefault="00A0628D" w:rsidP="006B717C">
      <w:pPr>
        <w:jc w:val="both"/>
        <w:rPr>
          <w:b/>
        </w:rPr>
      </w:pPr>
    </w:p>
    <w:p w:rsidR="00013451" w:rsidRPr="00E5251A" w:rsidRDefault="00013451" w:rsidP="006B717C">
      <w:pPr>
        <w:jc w:val="both"/>
        <w:rPr>
          <w:b/>
        </w:rPr>
      </w:pPr>
    </w:p>
    <w:p w:rsidR="00A0628D" w:rsidRPr="00E5251A" w:rsidRDefault="00A0628D" w:rsidP="00DB26CD">
      <w:pPr>
        <w:jc w:val="both"/>
      </w:pPr>
      <w:r w:rsidRPr="00E5251A">
        <w:t>PREMESSO</w:t>
      </w:r>
    </w:p>
    <w:p w:rsidR="00C22696" w:rsidRPr="00E5251A" w:rsidRDefault="00C22696" w:rsidP="006B717C">
      <w:pPr>
        <w:jc w:val="both"/>
        <w:rPr>
          <w:b/>
        </w:rPr>
      </w:pPr>
    </w:p>
    <w:p w:rsidR="006B717C" w:rsidRPr="00E5251A" w:rsidRDefault="00DB26CD" w:rsidP="00DB26CD">
      <w:pPr>
        <w:jc w:val="both"/>
      </w:pPr>
      <w:r w:rsidRPr="00E5251A">
        <w:t xml:space="preserve">- </w:t>
      </w:r>
      <w:r w:rsidR="00013451">
        <w:tab/>
      </w:r>
      <w:r w:rsidR="00C22696" w:rsidRPr="00E5251A">
        <w:t>che ai sensi dell’art. 10, comma 1, lett. a), dell’atto C.C. n. 78/23/42872 del 3/07/2007,  con il quale è stata costituita l’Istituzione dei Servizi Educativi, Scolastici e per le Famiglie del Comune di Ferrara e approvato il relativo Regolamento di funzionamento, il Consiglio di Amministrazione</w:t>
      </w:r>
      <w:r w:rsidR="004C5BAC" w:rsidRPr="00E5251A">
        <w:t>, o l’Amministratore Unico,</w:t>
      </w:r>
      <w:r w:rsidR="00C22696" w:rsidRPr="00E5251A">
        <w:t xml:space="preserve"> della predetta Istituzione delibera i  bilanci di previsione, il piano programma e il rendiconto, da sottoporre successivamente all’esame del Consiglio Comunale, ai fini della loro definitiva approvazione; </w:t>
      </w:r>
    </w:p>
    <w:p w:rsidR="00E624BD" w:rsidRPr="00E5251A" w:rsidRDefault="00C22696" w:rsidP="00DB26CD">
      <w:pPr>
        <w:jc w:val="both"/>
      </w:pPr>
      <w:r w:rsidRPr="00FC3B47">
        <w:rPr>
          <w:color w:val="FF0000"/>
        </w:rPr>
        <w:t xml:space="preserve"> </w:t>
      </w:r>
    </w:p>
    <w:p w:rsidR="00E624BD" w:rsidRPr="00E5251A" w:rsidRDefault="00E624BD" w:rsidP="00E624BD">
      <w:pPr>
        <w:numPr>
          <w:ilvl w:val="0"/>
          <w:numId w:val="2"/>
        </w:numPr>
        <w:tabs>
          <w:tab w:val="num" w:pos="0"/>
        </w:tabs>
        <w:ind w:left="0" w:firstLine="0"/>
        <w:jc w:val="both"/>
      </w:pPr>
      <w:r w:rsidRPr="00E5251A">
        <w:t>che, ai sensi dell’art. 14 del Regolamento dell’Istituzione Scolastica, nelle more della nomina del C.d.A. o di un Amministratore Unico dell’Istituzione, il Sindaco del Comune di Ferrara ha assunto poteri sostituitivi rispetto agli atti gestionali di competenza del C.d.A e dell’Amministratore Unico, giusta comunicazione al Consiglio Comunale avvenuta il 30 settembre 2019, (estratto del Verbale della seduta del Consiglio Comunale del 30/9/2019, PG. 122745 del 4/10/2019);</w:t>
      </w:r>
    </w:p>
    <w:p w:rsidR="00E624BD" w:rsidRPr="00E5251A" w:rsidRDefault="00E624BD" w:rsidP="00E624BD">
      <w:pPr>
        <w:jc w:val="both"/>
      </w:pPr>
    </w:p>
    <w:p w:rsidR="00E624BD" w:rsidRPr="00E5251A" w:rsidRDefault="00E624BD" w:rsidP="00E624BD">
      <w:pPr>
        <w:numPr>
          <w:ilvl w:val="0"/>
          <w:numId w:val="2"/>
        </w:numPr>
        <w:tabs>
          <w:tab w:val="num" w:pos="0"/>
        </w:tabs>
        <w:ind w:left="0" w:firstLine="0"/>
        <w:jc w:val="both"/>
      </w:pPr>
      <w:r w:rsidRPr="00E5251A">
        <w:t>che ai sensi del D. Lgs. 118/2011, integrato e modificato dal D. Lgs. 126/2014 l’Istituzione dei Servizi Educativi, Scolastici e per le Famiglie, dal 1/01/2015, è passata al sistema di contabilità finanziaria adottando i medesimi modelli contabili utilizzati dal Comune di Ferrara;</w:t>
      </w:r>
    </w:p>
    <w:p w:rsidR="001750C3" w:rsidRPr="00E5251A" w:rsidRDefault="001750C3" w:rsidP="001750C3">
      <w:pPr>
        <w:pStyle w:val="Paragrafoelenco"/>
      </w:pPr>
    </w:p>
    <w:p w:rsidR="001750C3" w:rsidRPr="00E5251A" w:rsidRDefault="001750C3" w:rsidP="001750C3">
      <w:pPr>
        <w:numPr>
          <w:ilvl w:val="0"/>
          <w:numId w:val="2"/>
        </w:numPr>
        <w:tabs>
          <w:tab w:val="num" w:pos="0"/>
        </w:tabs>
        <w:ind w:left="0" w:firstLine="0"/>
        <w:jc w:val="both"/>
      </w:pPr>
      <w:r w:rsidRPr="00E5251A">
        <w:t>che il Consiglio Comunale, con atto P.G.  28007/2021 del 22 marzo 2021, ha approvato il  Bilancio di Previsione 2021-2023 ed il Piano Programma 2021-2023 dell’Istituzione dei Servizi Educativi, Scolastici e per le Famiglie;</w:t>
      </w:r>
    </w:p>
    <w:p w:rsidR="001750C3" w:rsidRPr="00E5251A" w:rsidRDefault="001750C3" w:rsidP="001750C3">
      <w:pPr>
        <w:tabs>
          <w:tab w:val="num" w:pos="0"/>
        </w:tabs>
        <w:jc w:val="both"/>
      </w:pPr>
    </w:p>
    <w:p w:rsidR="001750C3" w:rsidRPr="00E5251A" w:rsidRDefault="001750C3" w:rsidP="001750C3">
      <w:pPr>
        <w:pStyle w:val="Intestazione"/>
        <w:numPr>
          <w:ilvl w:val="0"/>
          <w:numId w:val="2"/>
        </w:numPr>
        <w:tabs>
          <w:tab w:val="num" w:pos="0"/>
        </w:tabs>
        <w:ind w:left="0" w:firstLine="0"/>
        <w:jc w:val="both"/>
      </w:pPr>
      <w:r w:rsidRPr="00E5251A">
        <w:t>che con proprio atto n. 7/2021, P.G. n. 43187 del 7/4/2021, il Sindaco del Comune di Ferrara ha approvato il Piano Esecutivo di Gestione 2021-2023 dell’Istituzione dei Servizi Educativi, Scolastici e per le Famiglie;</w:t>
      </w:r>
    </w:p>
    <w:p w:rsidR="001750C3" w:rsidRPr="00E5251A" w:rsidRDefault="001750C3" w:rsidP="001750C3">
      <w:pPr>
        <w:pStyle w:val="Intestazione"/>
        <w:jc w:val="both"/>
      </w:pPr>
    </w:p>
    <w:p w:rsidR="001750C3" w:rsidRPr="00E5251A" w:rsidRDefault="001750C3" w:rsidP="001750C3">
      <w:pPr>
        <w:numPr>
          <w:ilvl w:val="0"/>
          <w:numId w:val="2"/>
        </w:numPr>
        <w:tabs>
          <w:tab w:val="num" w:pos="0"/>
        </w:tabs>
        <w:ind w:left="0" w:firstLine="0"/>
        <w:jc w:val="both"/>
      </w:pPr>
      <w:r w:rsidRPr="00E5251A">
        <w:t>che con delibera di Consiglio Comunale, P.G. n. 49538/2021 del 17/05/2021,                                è stato approvato il Rendiconto dell’esercizio 2020 dell’Istituzione dei Servizi Educativi, Scolastici e per le famiglie;</w:t>
      </w:r>
    </w:p>
    <w:p w:rsidR="001750C3" w:rsidRPr="00E5251A" w:rsidRDefault="001750C3" w:rsidP="001750C3">
      <w:pPr>
        <w:jc w:val="both"/>
      </w:pPr>
    </w:p>
    <w:p w:rsidR="001750C3" w:rsidRPr="00E5251A" w:rsidRDefault="001750C3" w:rsidP="001750C3">
      <w:pPr>
        <w:numPr>
          <w:ilvl w:val="0"/>
          <w:numId w:val="2"/>
        </w:numPr>
        <w:tabs>
          <w:tab w:val="num" w:pos="0"/>
        </w:tabs>
        <w:ind w:left="0" w:firstLine="0"/>
        <w:jc w:val="both"/>
      </w:pPr>
      <w:r w:rsidRPr="00E5251A">
        <w:t>che il predetto Rendiconto si è chiuso con un Avanzo di Amministrazione di €  5.119.569,82  composto come segue:</w:t>
      </w:r>
    </w:p>
    <w:p w:rsidR="001750C3" w:rsidRPr="00E5251A" w:rsidRDefault="001750C3" w:rsidP="001750C3">
      <w:pPr>
        <w:jc w:val="both"/>
      </w:pPr>
    </w:p>
    <w:p w:rsidR="001750C3" w:rsidRPr="00E5251A" w:rsidRDefault="001750C3" w:rsidP="00013451">
      <w:pPr>
        <w:ind w:firstLine="708"/>
        <w:jc w:val="both"/>
      </w:pPr>
      <w:r w:rsidRPr="00E5251A">
        <w:t xml:space="preserve">a) Fondi accantonati al Fondo Crediti dubbia Esigibilità          </w:t>
      </w:r>
      <w:r w:rsidR="00013451">
        <w:t xml:space="preserve">  </w:t>
      </w:r>
      <w:r w:rsidRPr="00E5251A">
        <w:t xml:space="preserve">    €       2.181.904,33</w:t>
      </w:r>
    </w:p>
    <w:p w:rsidR="001750C3" w:rsidRPr="00E5251A" w:rsidRDefault="001750C3" w:rsidP="00013451">
      <w:pPr>
        <w:ind w:firstLine="708"/>
        <w:jc w:val="both"/>
      </w:pPr>
      <w:r w:rsidRPr="00E5251A">
        <w:t xml:space="preserve">b) Fondi a destinazione vincolata                                             </w:t>
      </w:r>
      <w:r w:rsidR="00013451">
        <w:t xml:space="preserve"> </w:t>
      </w:r>
      <w:r w:rsidRPr="00E5251A">
        <w:t xml:space="preserve">     €       1.222.618,80</w:t>
      </w:r>
    </w:p>
    <w:p w:rsidR="001750C3" w:rsidRPr="00E5251A" w:rsidRDefault="001750C3" w:rsidP="00013451">
      <w:pPr>
        <w:ind w:firstLine="708"/>
        <w:jc w:val="both"/>
      </w:pPr>
      <w:r w:rsidRPr="00E5251A">
        <w:t>c) Avanzo disponibile                                                                    €       1.715.046,69</w:t>
      </w:r>
    </w:p>
    <w:p w:rsidR="00E5251A" w:rsidRDefault="00E5251A" w:rsidP="00E5251A">
      <w:pPr>
        <w:jc w:val="both"/>
      </w:pPr>
    </w:p>
    <w:p w:rsidR="00E5251A" w:rsidRDefault="00E5251A" w:rsidP="00E5251A">
      <w:pPr>
        <w:pStyle w:val="Intestazione"/>
        <w:numPr>
          <w:ilvl w:val="0"/>
          <w:numId w:val="2"/>
        </w:numPr>
        <w:tabs>
          <w:tab w:val="num" w:pos="0"/>
        </w:tabs>
        <w:ind w:left="0" w:firstLine="0"/>
        <w:jc w:val="both"/>
      </w:pPr>
      <w:r>
        <w:lastRenderedPageBreak/>
        <w:t>che ai sensi dell’art. 114, comma 4, del D. Lgs. 267/2000, le Istituzioni conformano la loro attività a criteri di efficacia, efficienza ed economicità ed hanno l’obbligo dell’equilibrio economico e del pareggio finanziario, considerando anche i proventi derivanti dai trasferimenti;</w:t>
      </w:r>
    </w:p>
    <w:p w:rsidR="00977A83" w:rsidRPr="00B10A3B" w:rsidRDefault="00977A83" w:rsidP="00E5251A">
      <w:pPr>
        <w:pStyle w:val="Intestazione"/>
        <w:jc w:val="both"/>
      </w:pPr>
    </w:p>
    <w:p w:rsidR="00E5251A" w:rsidRDefault="00E5251A" w:rsidP="00E5251A">
      <w:pPr>
        <w:autoSpaceDE w:val="0"/>
        <w:autoSpaceDN w:val="0"/>
        <w:adjustRightInd w:val="0"/>
        <w:jc w:val="both"/>
      </w:pPr>
      <w:r>
        <w:t>-</w:t>
      </w:r>
      <w:r w:rsidR="00977A83">
        <w:tab/>
      </w:r>
      <w:r w:rsidRPr="00B10A3B">
        <w:t>che</w:t>
      </w:r>
      <w:r>
        <w:t xml:space="preserve"> sono in fase di approvazione gli atti necessarie allo scioglimento dell’Istituzione dei Servizi Educativi, Scolastici e per le Famiglie del Comune di Ferrara al fine del rientro dei servizi gestiti dall’Istituzione nell’alveo delle attività del Comune di Ferrara;</w:t>
      </w:r>
    </w:p>
    <w:p w:rsidR="00E5251A" w:rsidRDefault="00E5251A" w:rsidP="00E5251A">
      <w:pPr>
        <w:pStyle w:val="Paragrafoelenco"/>
        <w:jc w:val="both"/>
      </w:pPr>
    </w:p>
    <w:p w:rsidR="00E5251A" w:rsidRDefault="00E5251A" w:rsidP="00E5251A">
      <w:pPr>
        <w:autoSpaceDE w:val="0"/>
        <w:autoSpaceDN w:val="0"/>
        <w:adjustRightInd w:val="0"/>
        <w:jc w:val="both"/>
      </w:pPr>
      <w:r>
        <w:t>-</w:t>
      </w:r>
      <w:r w:rsidR="00977A83">
        <w:tab/>
      </w:r>
      <w:r>
        <w:t>che la decorrenza dello scioglimento è prevista per il 1° agosto 2021, data ritenuta funzionale alla gestione amministrativa propedeutica all’avvio del prossimo anno scolastico;</w:t>
      </w:r>
    </w:p>
    <w:p w:rsidR="00E5251A" w:rsidRPr="00C109BC" w:rsidRDefault="00E5251A" w:rsidP="00E5251A">
      <w:pPr>
        <w:jc w:val="both"/>
      </w:pPr>
    </w:p>
    <w:p w:rsidR="00E5251A" w:rsidRPr="00C109BC" w:rsidRDefault="00E5251A" w:rsidP="00E5251A">
      <w:pPr>
        <w:jc w:val="both"/>
      </w:pPr>
      <w:r w:rsidRPr="00C109BC">
        <w:t>CONSIDERATO:</w:t>
      </w:r>
    </w:p>
    <w:p w:rsidR="00E5251A" w:rsidRPr="00C109BC" w:rsidRDefault="00E5251A" w:rsidP="00E5251A">
      <w:pPr>
        <w:jc w:val="both"/>
      </w:pPr>
    </w:p>
    <w:p w:rsidR="00E5251A" w:rsidRPr="00C109BC" w:rsidRDefault="00E5251A" w:rsidP="00E5251A">
      <w:pPr>
        <w:pStyle w:val="Intestazione"/>
        <w:numPr>
          <w:ilvl w:val="0"/>
          <w:numId w:val="2"/>
        </w:numPr>
        <w:tabs>
          <w:tab w:val="num" w:pos="0"/>
        </w:tabs>
        <w:ind w:left="0" w:firstLine="0"/>
        <w:jc w:val="both"/>
      </w:pPr>
      <w:r w:rsidRPr="00C109BC">
        <w:t>che il D.L. 22 aprile 2021, n. 52 (Decreto Riaperture) ha prorogato lo stato di emergenza sanitaria  COVID-19  fino al  31 luglio 2021;</w:t>
      </w:r>
    </w:p>
    <w:p w:rsidR="00E5251A" w:rsidRPr="00C109BC" w:rsidRDefault="00E5251A" w:rsidP="00E5251A">
      <w:pPr>
        <w:pStyle w:val="Intestazione"/>
        <w:jc w:val="both"/>
      </w:pPr>
    </w:p>
    <w:p w:rsidR="00E5251A" w:rsidRDefault="00E5251A" w:rsidP="00E5251A">
      <w:pPr>
        <w:pStyle w:val="Intestazione"/>
        <w:numPr>
          <w:ilvl w:val="0"/>
          <w:numId w:val="2"/>
        </w:numPr>
        <w:tabs>
          <w:tab w:val="num" w:pos="0"/>
        </w:tabs>
        <w:ind w:left="0" w:firstLine="0"/>
        <w:jc w:val="both"/>
      </w:pPr>
      <w:r w:rsidRPr="00C109BC">
        <w:t>che il D.L. 22 marzo 2021, n. 41, (Decreto Sostegni), convertito nella Legge 21 maggio 2021 n. 69, all’art. 30, comma 2-bis, prevede la possibilità, anche per l’esercizio 2021, di utilizzare la quota libera dell’avanzo di amministrazione per il finanziamento di spese correnti connesse con l’emergenza in corso;</w:t>
      </w:r>
    </w:p>
    <w:p w:rsidR="00E5251A" w:rsidRDefault="00E5251A" w:rsidP="00E5251A">
      <w:pPr>
        <w:pStyle w:val="Paragrafoelenco"/>
      </w:pPr>
    </w:p>
    <w:p w:rsidR="00E5251A" w:rsidRPr="00C109BC" w:rsidRDefault="00E5251A" w:rsidP="00E5251A">
      <w:pPr>
        <w:pStyle w:val="Intestazione"/>
        <w:numPr>
          <w:ilvl w:val="0"/>
          <w:numId w:val="2"/>
        </w:numPr>
        <w:tabs>
          <w:tab w:val="num" w:pos="0"/>
        </w:tabs>
        <w:ind w:left="0" w:firstLine="0"/>
        <w:jc w:val="both"/>
      </w:pPr>
      <w:r>
        <w:t>che l’art. 187, 2, del D. Lgs. 267/2000 norma l’utilizzo della quota libera dell’avanzo di amministrazione dell’esercizio precedente, prevedendo espressamente ed in ordine di priorità le tipologie di spese alle quale poterlo destinare;</w:t>
      </w:r>
    </w:p>
    <w:p w:rsidR="00E5251A" w:rsidRPr="00C109BC" w:rsidRDefault="00E5251A" w:rsidP="00E5251A">
      <w:pPr>
        <w:jc w:val="both"/>
      </w:pPr>
    </w:p>
    <w:p w:rsidR="00E5251A" w:rsidRDefault="00E5251A" w:rsidP="00E5251A">
      <w:pPr>
        <w:autoSpaceDE w:val="0"/>
        <w:autoSpaceDN w:val="0"/>
        <w:adjustRightInd w:val="0"/>
        <w:jc w:val="both"/>
      </w:pPr>
      <w:r w:rsidRPr="00C109BC">
        <w:t xml:space="preserve">- </w:t>
      </w:r>
      <w:r w:rsidR="00977A83">
        <w:tab/>
      </w:r>
      <w:r w:rsidRPr="00C109BC">
        <w:t>che, nel perdurare dell’emergenza sanitaria e pur nell’incertezza dell’effettivo termine dell’emergenza medesima, si rende necessario provvedere all’organizzazione dei servizi educativi e scolastici per l’anno 2021-2022 a partire da settembre 2021;</w:t>
      </w:r>
    </w:p>
    <w:p w:rsidR="00F44F15" w:rsidRPr="00C109BC" w:rsidRDefault="00F44F15" w:rsidP="00E5251A">
      <w:pPr>
        <w:autoSpaceDE w:val="0"/>
        <w:autoSpaceDN w:val="0"/>
        <w:adjustRightInd w:val="0"/>
        <w:jc w:val="both"/>
      </w:pPr>
    </w:p>
    <w:p w:rsidR="00F44F15" w:rsidRPr="00C109BC" w:rsidRDefault="00F44F15" w:rsidP="00F44F15">
      <w:pPr>
        <w:autoSpaceDE w:val="0"/>
        <w:autoSpaceDN w:val="0"/>
        <w:adjustRightInd w:val="0"/>
        <w:jc w:val="both"/>
      </w:pPr>
      <w:r w:rsidRPr="00C109BC">
        <w:t>-</w:t>
      </w:r>
      <w:r w:rsidR="00977A83">
        <w:tab/>
      </w:r>
      <w:r w:rsidRPr="00C109BC">
        <w:t>che, in funzione dello scioglimento dell’Istituzione Scolastica previsto per il 1° agosto 2021,  al fine di garantire il normale avvio dei servizi educativi e scolastici per l’anno 2021-2022, senza soluzione di continuità e senza arrecare detrimento ai cittadini, si rende necessario svolgere le attività amministrative e contabili conseguenti entro la data del 31/7/2021, ultimo giorno di attività dell’Istituzione medesima;</w:t>
      </w:r>
    </w:p>
    <w:p w:rsidR="00F44F15" w:rsidRPr="00503191" w:rsidRDefault="00F44F15" w:rsidP="00F44F15">
      <w:pPr>
        <w:jc w:val="both"/>
        <w:rPr>
          <w:color w:val="FF0000"/>
        </w:rPr>
      </w:pPr>
    </w:p>
    <w:p w:rsidR="00F44F15" w:rsidRPr="00935C9E" w:rsidRDefault="00F44F15" w:rsidP="00F44F15">
      <w:pPr>
        <w:autoSpaceDE w:val="0"/>
        <w:autoSpaceDN w:val="0"/>
        <w:adjustRightInd w:val="0"/>
        <w:jc w:val="both"/>
      </w:pPr>
      <w:r w:rsidRPr="00935C9E">
        <w:t>-</w:t>
      </w:r>
      <w:r w:rsidR="00977A83">
        <w:tab/>
      </w:r>
      <w:r w:rsidRPr="00935C9E">
        <w:t xml:space="preserve"> che, a tal fine, si rende necessario procedere ad una variazione al Bilancio 2021-2023 dell’Istituzione Scolastica per  poter introitare i maggiori trasferimenti da parte di Enti pubblici e per sostenere le spese destinate all’erogazione dei servizi rimodulati sulla base dall’attuale organizzazione e dell’emergenza vigente</w:t>
      </w:r>
      <w:r>
        <w:t>, variazione dettagliatamente indicata nell’allegato “n. 1” al presente atto;</w:t>
      </w:r>
    </w:p>
    <w:p w:rsidR="00EB6D97" w:rsidRPr="00FC3B47" w:rsidRDefault="00EB6D97" w:rsidP="00EB6D97">
      <w:pPr>
        <w:jc w:val="both"/>
        <w:rPr>
          <w:color w:val="FF0000"/>
        </w:rPr>
      </w:pPr>
    </w:p>
    <w:p w:rsidR="00F44F15" w:rsidRPr="00935C9E" w:rsidRDefault="00F44F15" w:rsidP="00F44F15">
      <w:pPr>
        <w:autoSpaceDE w:val="0"/>
        <w:autoSpaceDN w:val="0"/>
        <w:adjustRightInd w:val="0"/>
        <w:jc w:val="both"/>
      </w:pPr>
      <w:r w:rsidRPr="00935C9E">
        <w:t>-</w:t>
      </w:r>
      <w:r w:rsidR="00977A83">
        <w:tab/>
      </w:r>
      <w:r w:rsidRPr="00935C9E">
        <w:t xml:space="preserve"> che, le variazioni previste nell’allegato “</w:t>
      </w:r>
      <w:r>
        <w:t>n. 1</w:t>
      </w:r>
      <w:r w:rsidRPr="00935C9E">
        <w:t>”, sono destinate a copertura di minori trasferimenti da parte dello Stato legati al bando per mense BIO, all’adeguamento degli stanziamenti necessari per l’appalto dei servizi educativi e per quello dell’integrazione scolastica, a maggiori spese per servizi di ausiliariato nelle scuole dell’infanzia comunali</w:t>
      </w:r>
      <w:r>
        <w:t xml:space="preserve">, a spese per la </w:t>
      </w:r>
      <w:r w:rsidR="001F2026">
        <w:t xml:space="preserve"> messa in sicurezza delle aree gioco esterne dei servizi per l’infanzia</w:t>
      </w:r>
      <w:r>
        <w:t xml:space="preserve"> e </w:t>
      </w:r>
      <w:r w:rsidRPr="00935C9E">
        <w:t xml:space="preserve"> a progetti del Piano di Zona finanziati con trasferimenti Regionali appositamente destinati;</w:t>
      </w:r>
    </w:p>
    <w:p w:rsidR="00F44F15" w:rsidRPr="00732ABE" w:rsidRDefault="00F44F15" w:rsidP="00F44F15">
      <w:pPr>
        <w:autoSpaceDE w:val="0"/>
        <w:autoSpaceDN w:val="0"/>
        <w:adjustRightInd w:val="0"/>
        <w:jc w:val="both"/>
      </w:pPr>
    </w:p>
    <w:p w:rsidR="00F44F15" w:rsidRPr="00732ABE" w:rsidRDefault="00F44F15" w:rsidP="00F44F15">
      <w:pPr>
        <w:autoSpaceDE w:val="0"/>
        <w:autoSpaceDN w:val="0"/>
        <w:adjustRightInd w:val="0"/>
        <w:jc w:val="both"/>
      </w:pPr>
      <w:r w:rsidRPr="00732ABE">
        <w:t xml:space="preserve">- </w:t>
      </w:r>
      <w:r w:rsidR="00977A83">
        <w:tab/>
      </w:r>
      <w:r w:rsidRPr="00732ABE">
        <w:t>che le minori entrate e le maggiori spese sopra indicate vengono finanziate come segue:</w:t>
      </w:r>
    </w:p>
    <w:p w:rsidR="00F44F15" w:rsidRPr="00732ABE" w:rsidRDefault="00F44F15" w:rsidP="00977A83">
      <w:pPr>
        <w:numPr>
          <w:ilvl w:val="0"/>
          <w:numId w:val="16"/>
        </w:numPr>
        <w:tabs>
          <w:tab w:val="clear" w:pos="720"/>
          <w:tab w:val="num" w:pos="786"/>
        </w:tabs>
        <w:ind w:left="786"/>
        <w:jc w:val="both"/>
      </w:pPr>
      <w:r w:rsidRPr="00732ABE">
        <w:t xml:space="preserve">per €    100.000,00 con maggiori entrate da trasferimenti dalla Regione Emilia-Romagna;  </w:t>
      </w:r>
    </w:p>
    <w:p w:rsidR="00F44F15" w:rsidRPr="00732ABE" w:rsidRDefault="00F44F15" w:rsidP="00977A83">
      <w:pPr>
        <w:numPr>
          <w:ilvl w:val="0"/>
          <w:numId w:val="16"/>
        </w:numPr>
        <w:tabs>
          <w:tab w:val="clear" w:pos="720"/>
          <w:tab w:val="num" w:pos="786"/>
        </w:tabs>
        <w:ind w:left="786"/>
        <w:jc w:val="both"/>
      </w:pPr>
      <w:r w:rsidRPr="00732ABE">
        <w:t>per €      75.000,00 con economie di spese realizzate nel corso dell’anno;</w:t>
      </w:r>
    </w:p>
    <w:p w:rsidR="00F44F15" w:rsidRPr="00F41E1C" w:rsidRDefault="00F44F15" w:rsidP="00977A83">
      <w:pPr>
        <w:numPr>
          <w:ilvl w:val="0"/>
          <w:numId w:val="16"/>
        </w:numPr>
        <w:tabs>
          <w:tab w:val="clear" w:pos="720"/>
          <w:tab w:val="num" w:pos="786"/>
        </w:tabs>
        <w:ind w:left="786"/>
        <w:jc w:val="both"/>
      </w:pPr>
      <w:r w:rsidRPr="00732ABE">
        <w:lastRenderedPageBreak/>
        <w:t>per €  9</w:t>
      </w:r>
      <w:r>
        <w:t>79</w:t>
      </w:r>
      <w:r w:rsidRPr="00732ABE">
        <w:t xml:space="preserve">.776,61 con utilizzo di parte dell’avanzo di amministrazione disponibile </w:t>
      </w:r>
      <w:r w:rsidRPr="00F41E1C">
        <w:t>dell’esercizio 2020</w:t>
      </w:r>
      <w:r>
        <w:t>;</w:t>
      </w:r>
    </w:p>
    <w:p w:rsidR="006D02A6" w:rsidRDefault="006D02A6" w:rsidP="00F44F15">
      <w:pPr>
        <w:jc w:val="both"/>
      </w:pPr>
    </w:p>
    <w:p w:rsidR="00F44F15" w:rsidRPr="00F41E1C" w:rsidRDefault="00CF3A88" w:rsidP="00F44F15">
      <w:pPr>
        <w:jc w:val="both"/>
      </w:pPr>
      <w:r>
        <w:t>RITENUTO</w:t>
      </w:r>
      <w:r w:rsidR="00F44F15" w:rsidRPr="00F41E1C">
        <w:t xml:space="preserve"> necessario, al fine di garantire l’equilibrio economico ed il pareggio finanziario previsti dall’art. 114, comma 4, del D. Lgs. 118/2000  e di permettere, entro il 31 luglio 2021, l’espletamento delle procedure finalizzate alla corretta erogazione dei servizi necessari all’avvio dell’anno scolastico 2021-2022, provvedere ad effettuare le variazioni al Bilancio 2021-2023 dettagliatamente indicate nelle schede allegate al presente atto quale parte integrante, allegato “</w:t>
      </w:r>
      <w:r w:rsidR="00F44F15">
        <w:t>n. 1</w:t>
      </w:r>
      <w:r w:rsidR="00F44F15" w:rsidRPr="00F41E1C">
        <w:t>”;</w:t>
      </w:r>
    </w:p>
    <w:p w:rsidR="00F44F15" w:rsidRPr="00503191" w:rsidRDefault="00F44F15" w:rsidP="00F44F15">
      <w:pPr>
        <w:jc w:val="both"/>
        <w:rPr>
          <w:color w:val="FF0000"/>
        </w:rPr>
      </w:pPr>
    </w:p>
    <w:p w:rsidR="00F44F15" w:rsidRPr="00F41E1C" w:rsidRDefault="00F44F15" w:rsidP="00F44F15">
      <w:pPr>
        <w:jc w:val="both"/>
      </w:pPr>
      <w:r w:rsidRPr="00F41E1C">
        <w:t>Ai sensi e per gli effetti del Regolamento di contabilità dell’Istituzione, approvato con delibera di Consiglio Comunale PG. n. 21/107219/2010 del 13/12/2010 e modificato con delibera di Consiglio Comunale P.G. n. 137887/16 del 19/12/2016;</w:t>
      </w:r>
    </w:p>
    <w:p w:rsidR="00F44F15" w:rsidRPr="00ED2B6C" w:rsidRDefault="00F44F15" w:rsidP="00F44F15">
      <w:pPr>
        <w:jc w:val="both"/>
        <w:rPr>
          <w:highlight w:val="green"/>
        </w:rPr>
      </w:pPr>
    </w:p>
    <w:p w:rsidR="00F44F15" w:rsidRPr="00ED2B6C" w:rsidRDefault="00F44F15" w:rsidP="00F44F15">
      <w:pPr>
        <w:jc w:val="both"/>
      </w:pPr>
      <w:r w:rsidRPr="00ED2B6C">
        <w:t>VERIFICATO che, nel loro insieme, le entrate correnti, messe a confronto con il complesso delle spese correnti, consentono di confermare il mantenimento degli equilibri del Bilancio 202</w:t>
      </w:r>
      <w:r>
        <w:t>1</w:t>
      </w:r>
      <w:r w:rsidRPr="00ED2B6C">
        <w:t>-202</w:t>
      </w:r>
      <w:r>
        <w:t>3</w:t>
      </w:r>
      <w:r w:rsidRPr="00ED2B6C">
        <w:t>;</w:t>
      </w:r>
    </w:p>
    <w:p w:rsidR="001750C3" w:rsidRPr="00AE3D5F" w:rsidRDefault="001750C3" w:rsidP="001750C3">
      <w:pPr>
        <w:autoSpaceDE w:val="0"/>
        <w:autoSpaceDN w:val="0"/>
        <w:adjustRightInd w:val="0"/>
        <w:jc w:val="both"/>
      </w:pPr>
    </w:p>
    <w:p w:rsidR="006D2674" w:rsidRDefault="006D2674" w:rsidP="006D2674">
      <w:pPr>
        <w:pStyle w:val="Rientrocorpodeltesto"/>
        <w:tabs>
          <w:tab w:val="left" w:pos="0"/>
        </w:tabs>
        <w:ind w:left="0"/>
      </w:pPr>
      <w:r w:rsidRPr="00AE3D5F">
        <w:t xml:space="preserve">VISTO il parere espresso dal Collegio dei Revisori dei Conti  in data </w:t>
      </w:r>
      <w:r w:rsidR="00977A83">
        <w:t>_______________;</w:t>
      </w:r>
    </w:p>
    <w:p w:rsidR="000C355B" w:rsidRPr="00AE3D5F" w:rsidRDefault="000C355B" w:rsidP="000C355B">
      <w:pPr>
        <w:jc w:val="both"/>
      </w:pPr>
      <w:r w:rsidRPr="00AE3D5F">
        <w:t>VISTI gli artt. 42 e 175 del D. Lgs. n. 267/2000 e  ai sensi e per gli effetti di cui all’art. 10, comma 1. lett. a), del Regolamento per il funzionamento dell’Istituzione dei Servizi Educativi, Scolastici e per le Famiglie del Comune di Ferrara, approvato dal Consiglio Comunale in data 23/07/2007, con atto n. 78/23/42872 e successiva modificazione, e del Regolamento di contabilità dell’Istituzione, approvato con delibera di Consiglio Comunale PG. n. 21/107219/2010 del 13/12/2010 e modificato con delibera di Consiglio Comunale P.G. n. 137887/16 del 19/12/2016;</w:t>
      </w:r>
    </w:p>
    <w:p w:rsidR="006D2674" w:rsidRPr="00AE3D5F" w:rsidRDefault="006D2674" w:rsidP="006D2674">
      <w:pPr>
        <w:jc w:val="both"/>
      </w:pPr>
    </w:p>
    <w:p w:rsidR="000C355B" w:rsidRPr="00AE3D5F" w:rsidRDefault="000C355B" w:rsidP="000C355B">
      <w:pPr>
        <w:tabs>
          <w:tab w:val="left" w:pos="360"/>
          <w:tab w:val="left" w:pos="540"/>
        </w:tabs>
        <w:jc w:val="both"/>
      </w:pPr>
      <w:r w:rsidRPr="00AE3D5F">
        <w:t xml:space="preserve">VISTI i pareri favorevoli rispettivamente espressi dal Dirigente del Settore Istruzione, per il profilo di regolarità tecnica e dal Responsabile del Servizio Finanziario per il profilo di regolarità contabile (art. 49, 1° comma, del D.Lgs. n. 267/2000); </w:t>
      </w:r>
    </w:p>
    <w:p w:rsidR="00F923BF" w:rsidRPr="00AE3D5F" w:rsidRDefault="00F923BF" w:rsidP="000C355B">
      <w:pPr>
        <w:tabs>
          <w:tab w:val="left" w:pos="360"/>
          <w:tab w:val="left" w:pos="540"/>
        </w:tabs>
        <w:jc w:val="both"/>
      </w:pPr>
    </w:p>
    <w:p w:rsidR="00A0628D" w:rsidRPr="00AE3D5F" w:rsidRDefault="00A0628D" w:rsidP="00A0628D">
      <w:pPr>
        <w:tabs>
          <w:tab w:val="left" w:pos="360"/>
          <w:tab w:val="left" w:pos="540"/>
        </w:tabs>
        <w:jc w:val="both"/>
      </w:pPr>
      <w:r w:rsidRPr="00AE3D5F">
        <w:t>VISTA la proposta della Giunta, presentata ai sensi dell’art.  70, comma 3 dello Statuto del Comune di Ferrara;</w:t>
      </w:r>
    </w:p>
    <w:p w:rsidR="00A0628D" w:rsidRPr="00AE3D5F" w:rsidRDefault="00A0628D" w:rsidP="00A0628D">
      <w:pPr>
        <w:tabs>
          <w:tab w:val="left" w:pos="360"/>
          <w:tab w:val="left" w:pos="540"/>
        </w:tabs>
        <w:jc w:val="both"/>
        <w:outlineLvl w:val="0"/>
      </w:pPr>
    </w:p>
    <w:p w:rsidR="00A0628D" w:rsidRPr="00AE3D5F" w:rsidRDefault="00A0628D" w:rsidP="00A0628D">
      <w:pPr>
        <w:tabs>
          <w:tab w:val="left" w:pos="360"/>
          <w:tab w:val="left" w:pos="540"/>
        </w:tabs>
        <w:jc w:val="both"/>
        <w:outlineLvl w:val="0"/>
      </w:pPr>
      <w:r w:rsidRPr="00AE3D5F">
        <w:t>Sentite la 1^ e la 2^ Commissione Consiliare;</w:t>
      </w:r>
    </w:p>
    <w:p w:rsidR="000C5460" w:rsidRDefault="000C5460" w:rsidP="006010D1">
      <w:pPr>
        <w:tabs>
          <w:tab w:val="left" w:pos="360"/>
          <w:tab w:val="left" w:pos="540"/>
        </w:tabs>
        <w:jc w:val="center"/>
        <w:outlineLvl w:val="0"/>
        <w:rPr>
          <w:b/>
          <w:caps/>
        </w:rPr>
      </w:pPr>
    </w:p>
    <w:p w:rsidR="00977A83" w:rsidRPr="00276B13" w:rsidRDefault="00977A83" w:rsidP="006010D1">
      <w:pPr>
        <w:tabs>
          <w:tab w:val="left" w:pos="360"/>
          <w:tab w:val="left" w:pos="540"/>
        </w:tabs>
        <w:jc w:val="center"/>
        <w:outlineLvl w:val="0"/>
        <w:rPr>
          <w:b/>
          <w:caps/>
        </w:rPr>
      </w:pPr>
    </w:p>
    <w:p w:rsidR="006010D1" w:rsidRDefault="006010D1" w:rsidP="006010D1">
      <w:pPr>
        <w:tabs>
          <w:tab w:val="left" w:pos="360"/>
          <w:tab w:val="left" w:pos="540"/>
        </w:tabs>
        <w:jc w:val="center"/>
        <w:outlineLvl w:val="0"/>
        <w:rPr>
          <w:b/>
          <w:caps/>
        </w:rPr>
      </w:pPr>
      <w:r w:rsidRPr="00276B13">
        <w:rPr>
          <w:b/>
          <w:caps/>
        </w:rPr>
        <w:t>Delibera</w:t>
      </w:r>
    </w:p>
    <w:p w:rsidR="00977A83" w:rsidRPr="00276B13" w:rsidRDefault="00977A83" w:rsidP="006010D1">
      <w:pPr>
        <w:tabs>
          <w:tab w:val="left" w:pos="360"/>
          <w:tab w:val="left" w:pos="540"/>
        </w:tabs>
        <w:jc w:val="center"/>
        <w:outlineLvl w:val="0"/>
        <w:rPr>
          <w:b/>
          <w:caps/>
        </w:rPr>
      </w:pPr>
    </w:p>
    <w:p w:rsidR="006010D1" w:rsidRPr="00276B13" w:rsidRDefault="006010D1" w:rsidP="006010D1">
      <w:pPr>
        <w:tabs>
          <w:tab w:val="left" w:pos="360"/>
          <w:tab w:val="left" w:pos="540"/>
        </w:tabs>
      </w:pPr>
    </w:p>
    <w:p w:rsidR="006010D1" w:rsidRPr="00276B13" w:rsidRDefault="006010D1" w:rsidP="00977A83">
      <w:pPr>
        <w:numPr>
          <w:ilvl w:val="0"/>
          <w:numId w:val="8"/>
        </w:numPr>
        <w:tabs>
          <w:tab w:val="clear" w:pos="360"/>
        </w:tabs>
        <w:ind w:left="567" w:hanging="567"/>
        <w:jc w:val="both"/>
      </w:pPr>
      <w:r w:rsidRPr="00276B13">
        <w:t>di approvare quanto sopra esposto</w:t>
      </w:r>
      <w:r w:rsidR="00BA500F" w:rsidRPr="00276B13">
        <w:t xml:space="preserve"> e di </w:t>
      </w:r>
      <w:r w:rsidR="00276B13" w:rsidRPr="00276B13">
        <w:t>considerarlo qui integralmente tra</w:t>
      </w:r>
      <w:r w:rsidR="00BA500F" w:rsidRPr="00276B13">
        <w:t>scritto</w:t>
      </w:r>
      <w:r w:rsidRPr="00276B13">
        <w:t>;</w:t>
      </w:r>
    </w:p>
    <w:p w:rsidR="006010D1" w:rsidRPr="00276B13" w:rsidRDefault="006010D1" w:rsidP="00977A83">
      <w:pPr>
        <w:tabs>
          <w:tab w:val="left" w:pos="540"/>
        </w:tabs>
        <w:ind w:left="567" w:hanging="567"/>
        <w:jc w:val="both"/>
      </w:pPr>
    </w:p>
    <w:p w:rsidR="006010D1" w:rsidRPr="00276B13" w:rsidRDefault="000C5460" w:rsidP="00977A83">
      <w:pPr>
        <w:tabs>
          <w:tab w:val="left" w:pos="540"/>
        </w:tabs>
        <w:ind w:left="567" w:hanging="567"/>
        <w:jc w:val="both"/>
      </w:pPr>
      <w:r w:rsidRPr="00276B13">
        <w:t xml:space="preserve">- </w:t>
      </w:r>
      <w:r w:rsidR="00977A83">
        <w:tab/>
      </w:r>
      <w:r w:rsidRPr="00276B13">
        <w:t xml:space="preserve">di approvare </w:t>
      </w:r>
      <w:r w:rsidR="006010D1" w:rsidRPr="00276B13">
        <w:t>le variazioni al Bilancio di Previsione 20</w:t>
      </w:r>
      <w:r w:rsidR="00F4175C" w:rsidRPr="00276B13">
        <w:t>2</w:t>
      </w:r>
      <w:r w:rsidR="001E6A15" w:rsidRPr="00276B13">
        <w:t>1</w:t>
      </w:r>
      <w:r w:rsidR="006010D1" w:rsidRPr="00276B13">
        <w:t>-202</w:t>
      </w:r>
      <w:r w:rsidR="001E6A15" w:rsidRPr="00276B13">
        <w:t>3</w:t>
      </w:r>
      <w:r w:rsidR="00BA2017" w:rsidRPr="00276B13">
        <w:t xml:space="preserve"> </w:t>
      </w:r>
      <w:r w:rsidR="006010D1" w:rsidRPr="00276B13">
        <w:t>dell’Istituzione dei Servizi Educativi, Scolastici e per le Famiglie del Comune di Ferrara</w:t>
      </w:r>
      <w:r w:rsidR="00CB15BC" w:rsidRPr="00276B13">
        <w:t>,</w:t>
      </w:r>
      <w:r w:rsidR="006010D1" w:rsidRPr="00276B13">
        <w:t xml:space="preserve"> i cui contenuti, redatti ai sensi del D. Lgs. 118/2011, sono esposti nelle schede allegate al presen</w:t>
      </w:r>
      <w:r w:rsidR="00125E43" w:rsidRPr="00276B13">
        <w:t>te atto quale parte integrante, “</w:t>
      </w:r>
      <w:r w:rsidR="006010D1" w:rsidRPr="00276B13">
        <w:t>All</w:t>
      </w:r>
      <w:r w:rsidR="001E6A15" w:rsidRPr="00276B13">
        <w:t>egato</w:t>
      </w:r>
      <w:r w:rsidR="006010D1" w:rsidRPr="00276B13">
        <w:t xml:space="preserve"> n. </w:t>
      </w:r>
      <w:smartTag w:uri="urn:schemas-microsoft-com:office:smarttags" w:element="metricconverter">
        <w:smartTagPr>
          <w:attr w:name="ProductID" w:val="1”"/>
        </w:smartTagPr>
        <w:r w:rsidR="006010D1" w:rsidRPr="00276B13">
          <w:t>1</w:t>
        </w:r>
        <w:r w:rsidR="00125E43" w:rsidRPr="00276B13">
          <w:t>”</w:t>
        </w:r>
      </w:smartTag>
      <w:r w:rsidR="005C53EF" w:rsidRPr="00276B13">
        <w:t>;</w:t>
      </w:r>
    </w:p>
    <w:p w:rsidR="001C358D" w:rsidRPr="00FC3B47" w:rsidRDefault="001C358D" w:rsidP="00977A83">
      <w:pPr>
        <w:ind w:left="567" w:hanging="567"/>
        <w:jc w:val="both"/>
        <w:rPr>
          <w:color w:val="FF0000"/>
        </w:rPr>
      </w:pPr>
    </w:p>
    <w:p w:rsidR="00320AE7" w:rsidRPr="00276B13" w:rsidRDefault="00320AE7" w:rsidP="00977A83">
      <w:pPr>
        <w:ind w:left="567" w:hanging="567"/>
        <w:jc w:val="both"/>
      </w:pPr>
      <w:r w:rsidRPr="00276B13">
        <w:t>-</w:t>
      </w:r>
      <w:r w:rsidR="00977A83">
        <w:tab/>
      </w:r>
      <w:r w:rsidRPr="00276B13">
        <w:t>di approvare che la copertura delle maggiori spese, indicate nell’”Allegato “n. 1”, avviene, per l’anno 2021,  come segue:</w:t>
      </w:r>
    </w:p>
    <w:p w:rsidR="00276B13" w:rsidRPr="00732ABE" w:rsidRDefault="00276B13" w:rsidP="00276B13">
      <w:pPr>
        <w:numPr>
          <w:ilvl w:val="0"/>
          <w:numId w:val="16"/>
        </w:numPr>
        <w:tabs>
          <w:tab w:val="clear" w:pos="720"/>
          <w:tab w:val="num" w:pos="786"/>
        </w:tabs>
        <w:ind w:left="786"/>
      </w:pPr>
      <w:r w:rsidRPr="00732ABE">
        <w:t xml:space="preserve">per €    100.000,00 con maggiori entrate da trasferimenti dalla Regione Emilia-Romagna;  </w:t>
      </w:r>
    </w:p>
    <w:p w:rsidR="00276B13" w:rsidRPr="00732ABE" w:rsidRDefault="00276B13" w:rsidP="00276B13">
      <w:pPr>
        <w:numPr>
          <w:ilvl w:val="0"/>
          <w:numId w:val="16"/>
        </w:numPr>
        <w:tabs>
          <w:tab w:val="clear" w:pos="720"/>
          <w:tab w:val="num" w:pos="786"/>
        </w:tabs>
        <w:ind w:left="786"/>
      </w:pPr>
      <w:r w:rsidRPr="00732ABE">
        <w:t>per €      75.000,00 con economie di spese realizzate nel corso dell’anno;</w:t>
      </w:r>
    </w:p>
    <w:p w:rsidR="00276B13" w:rsidRPr="00F41E1C" w:rsidRDefault="00276B13" w:rsidP="00977A83">
      <w:pPr>
        <w:numPr>
          <w:ilvl w:val="0"/>
          <w:numId w:val="16"/>
        </w:numPr>
        <w:tabs>
          <w:tab w:val="clear" w:pos="720"/>
          <w:tab w:val="num" w:pos="786"/>
        </w:tabs>
        <w:ind w:left="786"/>
        <w:jc w:val="both"/>
      </w:pPr>
      <w:r w:rsidRPr="00732ABE">
        <w:t>per € 9</w:t>
      </w:r>
      <w:r>
        <w:t>79</w:t>
      </w:r>
      <w:r w:rsidRPr="00732ABE">
        <w:t xml:space="preserve">.776,61 con utilizzo di parte dell’avanzo di amministrazione disponibile </w:t>
      </w:r>
      <w:r w:rsidRPr="00F41E1C">
        <w:t>dell’esercizio 2020</w:t>
      </w:r>
      <w:r>
        <w:t>;</w:t>
      </w:r>
    </w:p>
    <w:p w:rsidR="00320AE7" w:rsidRPr="00276B13" w:rsidRDefault="00320AE7" w:rsidP="00320AE7"/>
    <w:p w:rsidR="00320AE7" w:rsidRPr="00276B13" w:rsidRDefault="00320AE7" w:rsidP="00977A83">
      <w:pPr>
        <w:numPr>
          <w:ilvl w:val="0"/>
          <w:numId w:val="7"/>
        </w:numPr>
        <w:tabs>
          <w:tab w:val="clear" w:pos="360"/>
        </w:tabs>
        <w:ind w:left="567" w:hanging="567"/>
        <w:jc w:val="both"/>
      </w:pPr>
      <w:r w:rsidRPr="00276B13">
        <w:t>di approvare che le variazioni sopra indicate vengano effettuate al Bilancio di Previsione 2021-2023, sia in conto della competenza  sia  in conto della cassa;</w:t>
      </w:r>
    </w:p>
    <w:p w:rsidR="00276B13" w:rsidRDefault="00276B13" w:rsidP="00977A83">
      <w:pPr>
        <w:ind w:left="567" w:hanging="567"/>
        <w:jc w:val="both"/>
        <w:rPr>
          <w:color w:val="FF0000"/>
        </w:rPr>
      </w:pPr>
    </w:p>
    <w:p w:rsidR="00276B13" w:rsidRPr="00E42076" w:rsidRDefault="00276B13" w:rsidP="00977A83">
      <w:pPr>
        <w:numPr>
          <w:ilvl w:val="0"/>
          <w:numId w:val="7"/>
        </w:numPr>
        <w:tabs>
          <w:tab w:val="clear" w:pos="360"/>
        </w:tabs>
        <w:ind w:left="567" w:hanging="567"/>
        <w:jc w:val="both"/>
      </w:pPr>
      <w:r w:rsidRPr="00E42076">
        <w:t xml:space="preserve">di </w:t>
      </w:r>
      <w:r w:rsidR="00AA6E77">
        <w:t>approvare</w:t>
      </w:r>
      <w:r w:rsidRPr="00E42076">
        <w:t>,</w:t>
      </w:r>
      <w:r>
        <w:t xml:space="preserve"> a seguito dell’adozione delle suddette variazioni, del permanere degli equilibri generali del Bilancio 202</w:t>
      </w:r>
      <w:r w:rsidR="008E561C">
        <w:t>1</w:t>
      </w:r>
      <w:r>
        <w:t>-202</w:t>
      </w:r>
      <w:r w:rsidR="008E561C">
        <w:t>3</w:t>
      </w:r>
      <w:r>
        <w:t>;</w:t>
      </w:r>
    </w:p>
    <w:p w:rsidR="00A0628D" w:rsidRPr="006D02A6" w:rsidRDefault="00A0628D" w:rsidP="00977A83">
      <w:pPr>
        <w:tabs>
          <w:tab w:val="left" w:pos="540"/>
        </w:tabs>
        <w:ind w:left="567" w:hanging="567"/>
        <w:jc w:val="both"/>
      </w:pPr>
    </w:p>
    <w:p w:rsidR="00A0628D" w:rsidRPr="006D02A6" w:rsidRDefault="009B7083" w:rsidP="00977A83">
      <w:pPr>
        <w:ind w:left="567" w:hanging="567"/>
        <w:jc w:val="both"/>
      </w:pPr>
      <w:r w:rsidRPr="006D02A6">
        <w:t xml:space="preserve">- </w:t>
      </w:r>
      <w:r w:rsidR="00977A83">
        <w:tab/>
      </w:r>
      <w:r w:rsidR="00A0628D" w:rsidRPr="006D02A6">
        <w:t>di dare atto che il responsabile del presente procedimento è il Direttore dell’Istituzione dei Servizi Educativi, Scol</w:t>
      </w:r>
      <w:r w:rsidR="0024209D" w:rsidRPr="006D02A6">
        <w:t xml:space="preserve">astici e per le Famiglie, </w:t>
      </w:r>
      <w:r w:rsidR="00320AE7" w:rsidRPr="006D02A6">
        <w:t>Dott. Walter Laghi</w:t>
      </w:r>
      <w:r w:rsidR="00A0628D" w:rsidRPr="006D02A6">
        <w:t>.</w:t>
      </w:r>
    </w:p>
    <w:p w:rsidR="00A0628D" w:rsidRPr="006D02A6" w:rsidRDefault="00A0628D" w:rsidP="00A0628D">
      <w:pPr>
        <w:jc w:val="both"/>
      </w:pPr>
    </w:p>
    <w:p w:rsidR="00E60555" w:rsidRPr="006D02A6" w:rsidRDefault="00E60555" w:rsidP="00A0628D">
      <w:pPr>
        <w:jc w:val="both"/>
      </w:pPr>
    </w:p>
    <w:sectPr w:rsidR="00E60555" w:rsidRPr="006D02A6" w:rsidSect="00013451">
      <w:headerReference w:type="default" r:id="rId8"/>
      <w:headerReference w:type="first" r:id="rId9"/>
      <w:footerReference w:type="first" r:id="rId10"/>
      <w:pgSz w:w="11906" w:h="16838"/>
      <w:pgMar w:top="1258" w:right="1134" w:bottom="1258" w:left="1134" w:header="709" w:footer="9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EFA" w:rsidRDefault="000C1EFA">
      <w:r>
        <w:separator/>
      </w:r>
    </w:p>
  </w:endnote>
  <w:endnote w:type="continuationSeparator" w:id="0">
    <w:p w:rsidR="000C1EFA" w:rsidRDefault="000C1E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9F0" w:rsidRDefault="00BE388E" w:rsidP="000128DE">
    <w:pPr>
      <w:pStyle w:val="Pidipagina"/>
    </w:pPr>
    <w:r>
      <w:rPr>
        <w:noProof/>
      </w:rPr>
      <w:drawing>
        <wp:inline distT="0" distB="0" distL="0" distR="0">
          <wp:extent cx="6114415" cy="127000"/>
          <wp:effectExtent l="19050" t="0" r="635" b="0"/>
          <wp:docPr id="3" name="Immagine 3" descr="basso1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asso1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127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tbl>
    <w:tblPr>
      <w:tblW w:w="0" w:type="auto"/>
      <w:tblLook w:val="01E0"/>
    </w:tblPr>
    <w:tblGrid>
      <w:gridCol w:w="2808"/>
      <w:gridCol w:w="4860"/>
      <w:gridCol w:w="2110"/>
    </w:tblGrid>
    <w:tr w:rsidR="003229F0" w:rsidTr="003243EB">
      <w:trPr>
        <w:trHeight w:val="1105"/>
      </w:trPr>
      <w:tc>
        <w:tcPr>
          <w:tcW w:w="2808" w:type="dxa"/>
        </w:tcPr>
        <w:p w:rsidR="003229F0" w:rsidRDefault="003229F0">
          <w:pPr>
            <w:rPr>
              <w:sz w:val="16"/>
              <w:szCs w:val="20"/>
            </w:rPr>
          </w:pPr>
        </w:p>
        <w:p w:rsidR="003229F0" w:rsidRDefault="003229F0">
          <w:pPr>
            <w:rPr>
              <w:sz w:val="16"/>
              <w:szCs w:val="20"/>
            </w:rPr>
          </w:pPr>
          <w:r>
            <w:rPr>
              <w:sz w:val="16"/>
              <w:szCs w:val="20"/>
            </w:rPr>
            <w:t>Via Guido D’Arezzo, 2  44121 Ferrara</w:t>
          </w:r>
          <w:r>
            <w:rPr>
              <w:sz w:val="16"/>
              <w:szCs w:val="20"/>
            </w:rPr>
            <w:br/>
            <w:t xml:space="preserve">tel. </w:t>
          </w:r>
          <w:r>
            <w:rPr>
              <w:sz w:val="16"/>
              <w:szCs w:val="16"/>
            </w:rPr>
            <w:t>0532 4</w:t>
          </w:r>
          <w:r>
            <w:rPr>
              <w:sz w:val="16"/>
              <w:szCs w:val="20"/>
            </w:rPr>
            <w:t>18100 fax. 0532 418147</w:t>
          </w:r>
          <w:r>
            <w:rPr>
              <w:sz w:val="16"/>
              <w:szCs w:val="20"/>
            </w:rPr>
            <w:br/>
            <w:t>Codice fiscale e P. IVA: 00297110389</w:t>
          </w:r>
          <w:r>
            <w:rPr>
              <w:sz w:val="16"/>
              <w:szCs w:val="20"/>
            </w:rPr>
            <w:br/>
            <w:t xml:space="preserve">PEC: </w:t>
          </w:r>
          <w:hyperlink r:id="rId2" w:history="1">
            <w:r>
              <w:rPr>
                <w:rStyle w:val="Collegamentoipertestuale"/>
                <w:sz w:val="16"/>
                <w:szCs w:val="20"/>
              </w:rPr>
              <w:t>istruzione@cert.comune.fe.it</w:t>
            </w:r>
          </w:hyperlink>
        </w:p>
        <w:p w:rsidR="003229F0" w:rsidRDefault="003229F0">
          <w:pPr>
            <w:rPr>
              <w:noProof/>
              <w:sz w:val="16"/>
              <w:szCs w:val="16"/>
              <w:lang w:val="en-GB"/>
            </w:rPr>
          </w:pPr>
          <w:r>
            <w:rPr>
              <w:sz w:val="16"/>
              <w:szCs w:val="20"/>
              <w:lang w:val="en-US"/>
            </w:rPr>
            <w:t xml:space="preserve">Sito web: </w:t>
          </w:r>
          <w:hyperlink r:id="rId3" w:history="1">
            <w:r>
              <w:rPr>
                <w:rStyle w:val="Collegamentoipertestuale"/>
                <w:sz w:val="16"/>
                <w:szCs w:val="20"/>
                <w:lang w:val="en-US"/>
              </w:rPr>
              <w:t>http://www.comune.fe.it</w:t>
            </w:r>
          </w:hyperlink>
        </w:p>
      </w:tc>
      <w:tc>
        <w:tcPr>
          <w:tcW w:w="4860" w:type="dxa"/>
        </w:tcPr>
        <w:p w:rsidR="003229F0" w:rsidRDefault="003229F0">
          <w:pPr>
            <w:jc w:val="center"/>
            <w:rPr>
              <w:color w:val="333333"/>
              <w:spacing w:val="6"/>
              <w:sz w:val="16"/>
              <w:szCs w:val="16"/>
              <w:lang w:val="en-GB"/>
            </w:rPr>
          </w:pPr>
          <w:r>
            <w:rPr>
              <w:lang w:val="en-GB"/>
            </w:rPr>
            <w:t xml:space="preserve">      </w:t>
          </w:r>
        </w:p>
      </w:tc>
      <w:tc>
        <w:tcPr>
          <w:tcW w:w="2110" w:type="dxa"/>
        </w:tcPr>
        <w:p w:rsidR="003229F0" w:rsidRDefault="00BE388E">
          <w:pPr>
            <w:jc w:val="right"/>
            <w:rPr>
              <w:color w:val="333333"/>
              <w:spacing w:val="6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>
                <wp:extent cx="1153160" cy="580390"/>
                <wp:effectExtent l="19050" t="0" r="8890" b="0"/>
                <wp:docPr id="4" name="Immagine 4" descr="logo IS viol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 IS viol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3160" cy="5803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229F0" w:rsidRPr="003130A5" w:rsidRDefault="003229F0" w:rsidP="003243EB">
    <w:pPr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EFA" w:rsidRDefault="000C1EFA">
      <w:r>
        <w:separator/>
      </w:r>
    </w:p>
  </w:footnote>
  <w:footnote w:type="continuationSeparator" w:id="0">
    <w:p w:rsidR="000C1EFA" w:rsidRDefault="000C1E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451" w:rsidRDefault="00013451">
    <w:pPr>
      <w:pStyle w:val="Intestazione"/>
    </w:pPr>
    <w:r>
      <w:t>73953/2021 scuola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9F0" w:rsidRDefault="003229F0">
    <w:pPr>
      <w:pStyle w:val="Intestazione"/>
    </w:pPr>
    <w:r>
      <w:t xml:space="preserve">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768DD"/>
    <w:multiLevelType w:val="hybridMultilevel"/>
    <w:tmpl w:val="43C8C696"/>
    <w:lvl w:ilvl="0" w:tplc="13FE69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9953FC"/>
    <w:multiLevelType w:val="hybridMultilevel"/>
    <w:tmpl w:val="5B928D9E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C467B5"/>
    <w:multiLevelType w:val="hybridMultilevel"/>
    <w:tmpl w:val="5D0AB5F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0C71C4"/>
    <w:multiLevelType w:val="hybridMultilevel"/>
    <w:tmpl w:val="5B2C3736"/>
    <w:lvl w:ilvl="0" w:tplc="FFFFFFFF">
      <w:start w:val="1"/>
      <w:numFmt w:val="bullet"/>
      <w:lvlText w:val=""/>
      <w:lvlJc w:val="left"/>
      <w:pPr>
        <w:tabs>
          <w:tab w:val="num" w:pos="4046"/>
        </w:tabs>
        <w:ind w:left="4046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5126"/>
        </w:tabs>
        <w:ind w:left="512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5846"/>
        </w:tabs>
        <w:ind w:left="584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6566"/>
        </w:tabs>
        <w:ind w:left="656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7286"/>
        </w:tabs>
        <w:ind w:left="728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8006"/>
        </w:tabs>
        <w:ind w:left="800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8726"/>
        </w:tabs>
        <w:ind w:left="872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9446"/>
        </w:tabs>
        <w:ind w:left="944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10166"/>
        </w:tabs>
        <w:ind w:left="10166" w:hanging="360"/>
      </w:pPr>
      <w:rPr>
        <w:rFonts w:ascii="Wingdings" w:hAnsi="Wingdings" w:hint="default"/>
      </w:rPr>
    </w:lvl>
  </w:abstractNum>
  <w:abstractNum w:abstractNumId="4">
    <w:nsid w:val="2B3F3F7B"/>
    <w:multiLevelType w:val="hybridMultilevel"/>
    <w:tmpl w:val="021081AE"/>
    <w:lvl w:ilvl="0" w:tplc="804EB7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37E2002"/>
    <w:multiLevelType w:val="hybridMultilevel"/>
    <w:tmpl w:val="F884803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7C2753"/>
    <w:multiLevelType w:val="hybridMultilevel"/>
    <w:tmpl w:val="21EEFE8C"/>
    <w:lvl w:ilvl="0" w:tplc="B336B75E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9F7DCB"/>
    <w:multiLevelType w:val="hybridMultilevel"/>
    <w:tmpl w:val="FCD86FF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0026A6"/>
    <w:multiLevelType w:val="hybridMultilevel"/>
    <w:tmpl w:val="E648EA68"/>
    <w:lvl w:ilvl="0" w:tplc="666CCC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23B8C83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7225D5"/>
    <w:multiLevelType w:val="hybridMultilevel"/>
    <w:tmpl w:val="4EE2B9AA"/>
    <w:lvl w:ilvl="0" w:tplc="E898AC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98130ED"/>
    <w:multiLevelType w:val="hybridMultilevel"/>
    <w:tmpl w:val="16DE9440"/>
    <w:lvl w:ilvl="0" w:tplc="28CC6F8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C326F0C"/>
    <w:multiLevelType w:val="singleLevel"/>
    <w:tmpl w:val="CEE0FB8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51840A90"/>
    <w:multiLevelType w:val="hybridMultilevel"/>
    <w:tmpl w:val="4622F5EA"/>
    <w:lvl w:ilvl="0" w:tplc="0410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871E58"/>
    <w:multiLevelType w:val="hybridMultilevel"/>
    <w:tmpl w:val="28FA8C36"/>
    <w:lvl w:ilvl="0" w:tplc="C3DA27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0F41DB"/>
    <w:multiLevelType w:val="hybridMultilevel"/>
    <w:tmpl w:val="67440094"/>
    <w:lvl w:ilvl="0" w:tplc="4414487E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5D111F1E"/>
    <w:multiLevelType w:val="hybridMultilevel"/>
    <w:tmpl w:val="7466F3C2"/>
    <w:lvl w:ilvl="0" w:tplc="3B5807F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6">
    <w:nsid w:val="638E0CD5"/>
    <w:multiLevelType w:val="hybridMultilevel"/>
    <w:tmpl w:val="221ABF32"/>
    <w:lvl w:ilvl="0" w:tplc="E898AC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7631559"/>
    <w:multiLevelType w:val="hybridMultilevel"/>
    <w:tmpl w:val="72C8E944"/>
    <w:lvl w:ilvl="0" w:tplc="E898AC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C456EC"/>
    <w:multiLevelType w:val="hybridMultilevel"/>
    <w:tmpl w:val="5A62B66E"/>
    <w:lvl w:ilvl="0" w:tplc="3356E5F4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4"/>
  </w:num>
  <w:num w:numId="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1"/>
  </w:num>
  <w:num w:numId="8">
    <w:abstractNumId w:val="11"/>
    <w:lvlOverride w:ilvl="0"/>
  </w:num>
  <w:num w:numId="9">
    <w:abstractNumId w:val="8"/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4"/>
  </w:num>
  <w:num w:numId="18">
    <w:abstractNumId w:val="12"/>
  </w:num>
  <w:num w:numId="19">
    <w:abstractNumId w:val="18"/>
  </w:num>
  <w:num w:numId="20">
    <w:abstractNumId w:val="15"/>
  </w:num>
  <w:num w:numId="21">
    <w:abstractNumId w:val="5"/>
  </w:num>
  <w:num w:numId="22">
    <w:abstractNumId w:val="0"/>
  </w:num>
  <w:num w:numId="23">
    <w:abstractNumId w:val="2"/>
  </w:num>
  <w:num w:numId="24">
    <w:abstractNumId w:val="17"/>
  </w:num>
  <w:num w:numId="2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3327"/>
    <w:rsid w:val="00002C35"/>
    <w:rsid w:val="0000742A"/>
    <w:rsid w:val="000128DE"/>
    <w:rsid w:val="00013451"/>
    <w:rsid w:val="000223BB"/>
    <w:rsid w:val="00024BFE"/>
    <w:rsid w:val="00026005"/>
    <w:rsid w:val="00026784"/>
    <w:rsid w:val="00031A98"/>
    <w:rsid w:val="00056B77"/>
    <w:rsid w:val="000A3DB8"/>
    <w:rsid w:val="000C1EFA"/>
    <w:rsid w:val="000C355B"/>
    <w:rsid w:val="000C5460"/>
    <w:rsid w:val="000F4A71"/>
    <w:rsid w:val="00105684"/>
    <w:rsid w:val="00125E43"/>
    <w:rsid w:val="001337B2"/>
    <w:rsid w:val="00141B10"/>
    <w:rsid w:val="001616FC"/>
    <w:rsid w:val="001750C3"/>
    <w:rsid w:val="001841CB"/>
    <w:rsid w:val="00184780"/>
    <w:rsid w:val="00184965"/>
    <w:rsid w:val="0018658D"/>
    <w:rsid w:val="001949A8"/>
    <w:rsid w:val="001B3642"/>
    <w:rsid w:val="001C358D"/>
    <w:rsid w:val="001D2180"/>
    <w:rsid w:val="001E2035"/>
    <w:rsid w:val="001E6A15"/>
    <w:rsid w:val="001F2026"/>
    <w:rsid w:val="00202CD8"/>
    <w:rsid w:val="002275DB"/>
    <w:rsid w:val="0024209D"/>
    <w:rsid w:val="002530C8"/>
    <w:rsid w:val="00253327"/>
    <w:rsid w:val="00273D9C"/>
    <w:rsid w:val="00276B13"/>
    <w:rsid w:val="0028527C"/>
    <w:rsid w:val="0029020E"/>
    <w:rsid w:val="00290C09"/>
    <w:rsid w:val="002E2688"/>
    <w:rsid w:val="002E5FAC"/>
    <w:rsid w:val="002F1A4E"/>
    <w:rsid w:val="002F6569"/>
    <w:rsid w:val="00302231"/>
    <w:rsid w:val="00307DA5"/>
    <w:rsid w:val="003100D5"/>
    <w:rsid w:val="003130A5"/>
    <w:rsid w:val="00320AE7"/>
    <w:rsid w:val="003229F0"/>
    <w:rsid w:val="003230EF"/>
    <w:rsid w:val="003243EB"/>
    <w:rsid w:val="0034689E"/>
    <w:rsid w:val="00361613"/>
    <w:rsid w:val="00373F22"/>
    <w:rsid w:val="00380171"/>
    <w:rsid w:val="00391F8C"/>
    <w:rsid w:val="003A02E1"/>
    <w:rsid w:val="003A0CC8"/>
    <w:rsid w:val="003B560C"/>
    <w:rsid w:val="003D22D6"/>
    <w:rsid w:val="003D6178"/>
    <w:rsid w:val="003E7EDD"/>
    <w:rsid w:val="004020E3"/>
    <w:rsid w:val="004063E2"/>
    <w:rsid w:val="00435A44"/>
    <w:rsid w:val="00490A77"/>
    <w:rsid w:val="0049391F"/>
    <w:rsid w:val="004A0AC2"/>
    <w:rsid w:val="004C5AA1"/>
    <w:rsid w:val="004C5BAC"/>
    <w:rsid w:val="004D45A9"/>
    <w:rsid w:val="004E1354"/>
    <w:rsid w:val="004E4A14"/>
    <w:rsid w:val="005016FE"/>
    <w:rsid w:val="00505BE4"/>
    <w:rsid w:val="005206F6"/>
    <w:rsid w:val="005365FF"/>
    <w:rsid w:val="0054241A"/>
    <w:rsid w:val="00561926"/>
    <w:rsid w:val="005659FA"/>
    <w:rsid w:val="00566CAA"/>
    <w:rsid w:val="005A01FD"/>
    <w:rsid w:val="005A103E"/>
    <w:rsid w:val="005A6EA9"/>
    <w:rsid w:val="005B7D69"/>
    <w:rsid w:val="005C53EF"/>
    <w:rsid w:val="006010D1"/>
    <w:rsid w:val="0060673F"/>
    <w:rsid w:val="00672F7F"/>
    <w:rsid w:val="0067723D"/>
    <w:rsid w:val="006B717C"/>
    <w:rsid w:val="006C7C6B"/>
    <w:rsid w:val="006D02A6"/>
    <w:rsid w:val="006D2674"/>
    <w:rsid w:val="006D47FD"/>
    <w:rsid w:val="006D58AC"/>
    <w:rsid w:val="006E1062"/>
    <w:rsid w:val="006F4952"/>
    <w:rsid w:val="00724B50"/>
    <w:rsid w:val="0072717A"/>
    <w:rsid w:val="00743DE0"/>
    <w:rsid w:val="00752188"/>
    <w:rsid w:val="00781B32"/>
    <w:rsid w:val="00792DE4"/>
    <w:rsid w:val="007957D2"/>
    <w:rsid w:val="007B41D4"/>
    <w:rsid w:val="007B6359"/>
    <w:rsid w:val="007E08A5"/>
    <w:rsid w:val="007F024E"/>
    <w:rsid w:val="0081074C"/>
    <w:rsid w:val="00827981"/>
    <w:rsid w:val="008337D4"/>
    <w:rsid w:val="00866CE9"/>
    <w:rsid w:val="00870759"/>
    <w:rsid w:val="0087137E"/>
    <w:rsid w:val="008A3944"/>
    <w:rsid w:val="008B2D8F"/>
    <w:rsid w:val="008C03E8"/>
    <w:rsid w:val="008D1C2E"/>
    <w:rsid w:val="008E561C"/>
    <w:rsid w:val="008F5B82"/>
    <w:rsid w:val="008F7F1C"/>
    <w:rsid w:val="00901ABF"/>
    <w:rsid w:val="00906BE8"/>
    <w:rsid w:val="009078DB"/>
    <w:rsid w:val="0092754B"/>
    <w:rsid w:val="0094133B"/>
    <w:rsid w:val="00947307"/>
    <w:rsid w:val="00952423"/>
    <w:rsid w:val="009645AA"/>
    <w:rsid w:val="00976643"/>
    <w:rsid w:val="00977A83"/>
    <w:rsid w:val="00994A54"/>
    <w:rsid w:val="009A35E0"/>
    <w:rsid w:val="009A5DEB"/>
    <w:rsid w:val="009B7083"/>
    <w:rsid w:val="009C4F91"/>
    <w:rsid w:val="009D46F6"/>
    <w:rsid w:val="009F0228"/>
    <w:rsid w:val="00A0628D"/>
    <w:rsid w:val="00A43539"/>
    <w:rsid w:val="00A83C30"/>
    <w:rsid w:val="00A841E4"/>
    <w:rsid w:val="00AA6E77"/>
    <w:rsid w:val="00AD4B30"/>
    <w:rsid w:val="00AE3D5F"/>
    <w:rsid w:val="00AF5DF6"/>
    <w:rsid w:val="00B25522"/>
    <w:rsid w:val="00B339FD"/>
    <w:rsid w:val="00B34C2E"/>
    <w:rsid w:val="00B518D4"/>
    <w:rsid w:val="00B55CAD"/>
    <w:rsid w:val="00B65938"/>
    <w:rsid w:val="00B66E55"/>
    <w:rsid w:val="00B76784"/>
    <w:rsid w:val="00BA0E28"/>
    <w:rsid w:val="00BA2017"/>
    <w:rsid w:val="00BA500F"/>
    <w:rsid w:val="00BB4415"/>
    <w:rsid w:val="00BC05C3"/>
    <w:rsid w:val="00BE388E"/>
    <w:rsid w:val="00C22696"/>
    <w:rsid w:val="00C40A12"/>
    <w:rsid w:val="00C40CB4"/>
    <w:rsid w:val="00C41918"/>
    <w:rsid w:val="00C6191A"/>
    <w:rsid w:val="00C66723"/>
    <w:rsid w:val="00C7003C"/>
    <w:rsid w:val="00C73F2F"/>
    <w:rsid w:val="00C85DB5"/>
    <w:rsid w:val="00C93AFE"/>
    <w:rsid w:val="00CA10EC"/>
    <w:rsid w:val="00CA2AB8"/>
    <w:rsid w:val="00CA3951"/>
    <w:rsid w:val="00CA4465"/>
    <w:rsid w:val="00CB15BC"/>
    <w:rsid w:val="00CC27DE"/>
    <w:rsid w:val="00CC2983"/>
    <w:rsid w:val="00CC3399"/>
    <w:rsid w:val="00CD66D9"/>
    <w:rsid w:val="00CF3A88"/>
    <w:rsid w:val="00CF585C"/>
    <w:rsid w:val="00D029B0"/>
    <w:rsid w:val="00D22AC5"/>
    <w:rsid w:val="00D66A30"/>
    <w:rsid w:val="00D74E53"/>
    <w:rsid w:val="00D969C9"/>
    <w:rsid w:val="00DA635D"/>
    <w:rsid w:val="00DB225B"/>
    <w:rsid w:val="00DB26CD"/>
    <w:rsid w:val="00DC590B"/>
    <w:rsid w:val="00DD4779"/>
    <w:rsid w:val="00DF3A95"/>
    <w:rsid w:val="00E2169C"/>
    <w:rsid w:val="00E27D04"/>
    <w:rsid w:val="00E42076"/>
    <w:rsid w:val="00E433BE"/>
    <w:rsid w:val="00E5251A"/>
    <w:rsid w:val="00E60555"/>
    <w:rsid w:val="00E61F4A"/>
    <w:rsid w:val="00E624BD"/>
    <w:rsid w:val="00E65F61"/>
    <w:rsid w:val="00E72BB7"/>
    <w:rsid w:val="00E73536"/>
    <w:rsid w:val="00E87D83"/>
    <w:rsid w:val="00E9318D"/>
    <w:rsid w:val="00EB6D97"/>
    <w:rsid w:val="00EC61A8"/>
    <w:rsid w:val="00ED1F89"/>
    <w:rsid w:val="00EF5521"/>
    <w:rsid w:val="00F32CFA"/>
    <w:rsid w:val="00F4175C"/>
    <w:rsid w:val="00F44C5F"/>
    <w:rsid w:val="00F44F15"/>
    <w:rsid w:val="00F72EF8"/>
    <w:rsid w:val="00F922D6"/>
    <w:rsid w:val="00F923BF"/>
    <w:rsid w:val="00FB5CC5"/>
    <w:rsid w:val="00FC3B47"/>
    <w:rsid w:val="00FD07B6"/>
    <w:rsid w:val="00FE32D0"/>
    <w:rsid w:val="00FF3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9318D"/>
    <w:rPr>
      <w:sz w:val="24"/>
      <w:szCs w:val="24"/>
    </w:rPr>
  </w:style>
  <w:style w:type="paragraph" w:styleId="Titolo1">
    <w:name w:val="heading 1"/>
    <w:basedOn w:val="Normale"/>
    <w:next w:val="Normale"/>
    <w:qFormat/>
    <w:rsid w:val="00B34C2E"/>
    <w:pPr>
      <w:keepNext/>
      <w:ind w:left="1620"/>
      <w:outlineLvl w:val="0"/>
    </w:pPr>
    <w:rPr>
      <w:rFonts w:ascii="Book Antiqua" w:hAnsi="Book Antiqua"/>
      <w:i/>
      <w:spacing w:val="8"/>
      <w:sz w:val="22"/>
      <w:szCs w:val="20"/>
    </w:rPr>
  </w:style>
  <w:style w:type="paragraph" w:styleId="Titolo2">
    <w:name w:val="heading 2"/>
    <w:basedOn w:val="Normale"/>
    <w:next w:val="Normale"/>
    <w:qFormat/>
    <w:rsid w:val="003E7ED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3E7E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3E7ED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3E7ED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link w:val="IntestazioneCarattere"/>
    <w:rsid w:val="000128D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0128DE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253327"/>
    <w:rPr>
      <w:color w:val="0000FF"/>
      <w:u w:val="single"/>
    </w:rPr>
  </w:style>
  <w:style w:type="paragraph" w:styleId="Corpodeltesto">
    <w:name w:val="Body Text"/>
    <w:basedOn w:val="Normale"/>
    <w:rsid w:val="00B339FD"/>
    <w:pPr>
      <w:tabs>
        <w:tab w:val="left" w:pos="720"/>
        <w:tab w:val="left" w:pos="1008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632"/>
      </w:tabs>
      <w:jc w:val="both"/>
    </w:pPr>
    <w:rPr>
      <w:szCs w:val="20"/>
    </w:rPr>
  </w:style>
  <w:style w:type="table" w:styleId="Grigliatabella">
    <w:name w:val="Table Grid"/>
    <w:basedOn w:val="Tabellanormale"/>
    <w:rsid w:val="00B339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rmale">
    <w:name w:val="Plain Text"/>
    <w:basedOn w:val="Normale"/>
    <w:rsid w:val="003E7EDD"/>
    <w:rPr>
      <w:rFonts w:ascii="Courier New" w:hAnsi="Courier New"/>
      <w:sz w:val="20"/>
      <w:szCs w:val="20"/>
    </w:rPr>
  </w:style>
  <w:style w:type="paragraph" w:styleId="Corpodeltesto3">
    <w:name w:val="Body Text 3"/>
    <w:basedOn w:val="Normale"/>
    <w:rsid w:val="003E7EDD"/>
    <w:pPr>
      <w:spacing w:after="120"/>
    </w:pPr>
    <w:rPr>
      <w:sz w:val="16"/>
      <w:szCs w:val="16"/>
    </w:rPr>
  </w:style>
  <w:style w:type="paragraph" w:styleId="Rientrocorpodeltesto3">
    <w:name w:val="Body Text Indent 3"/>
    <w:basedOn w:val="Normale"/>
    <w:rsid w:val="003E7EDD"/>
    <w:pPr>
      <w:spacing w:after="120"/>
      <w:ind w:left="283"/>
    </w:pPr>
    <w:rPr>
      <w:sz w:val="16"/>
      <w:szCs w:val="16"/>
    </w:rPr>
  </w:style>
  <w:style w:type="character" w:customStyle="1" w:styleId="IntestazioneCarattere">
    <w:name w:val="Intestazione Carattere"/>
    <w:link w:val="Intestazione"/>
    <w:semiHidden/>
    <w:locked/>
    <w:rsid w:val="00A0628D"/>
    <w:rPr>
      <w:sz w:val="24"/>
      <w:szCs w:val="24"/>
      <w:lang w:val="it-IT" w:eastAsia="it-IT" w:bidi="ar-SA"/>
    </w:rPr>
  </w:style>
  <w:style w:type="paragraph" w:styleId="Rientrocorpodeltesto">
    <w:name w:val="Body Text Indent"/>
    <w:basedOn w:val="Normale"/>
    <w:rsid w:val="00A0628D"/>
    <w:pPr>
      <w:spacing w:after="120"/>
      <w:ind w:left="283"/>
    </w:pPr>
  </w:style>
  <w:style w:type="character" w:customStyle="1" w:styleId="CarattereCarattere6">
    <w:name w:val=" Carattere Carattere6"/>
    <w:semiHidden/>
    <w:locked/>
    <w:rsid w:val="00E60555"/>
    <w:rPr>
      <w:sz w:val="24"/>
      <w:szCs w:val="24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6F4952"/>
    <w:pPr>
      <w:ind w:left="708"/>
    </w:pPr>
  </w:style>
  <w:style w:type="character" w:customStyle="1" w:styleId="CarattereCarattere1">
    <w:name w:val=" Carattere Carattere1"/>
    <w:semiHidden/>
    <w:locked/>
    <w:rsid w:val="008B2D8F"/>
    <w:rPr>
      <w:sz w:val="24"/>
      <w:szCs w:val="24"/>
      <w:lang w:val="it-IT" w:eastAsia="it-IT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omune.fe.it" TargetMode="External"/><Relationship Id="rId2" Type="http://schemas.openxmlformats.org/officeDocument/2006/relationships/hyperlink" Target="mailto:istruzione@cert.comune.fe.it" TargetMode="External"/><Relationship Id="rId1" Type="http://schemas.openxmlformats.org/officeDocument/2006/relationships/image" Target="media/image1.jpeg"/><Relationship Id="rId4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.giomo.SSI\Desktop\carta%20intestata_Finardi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B082C1-6BDB-450A-B7AA-D18C5F9EA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intestata_Finardi</Template>
  <TotalTime>0</TotalTime>
  <Pages>4</Pages>
  <Words>1387</Words>
  <Characters>7911</Characters>
  <Application>Microsoft Office Word</Application>
  <DocSecurity>0</DocSecurity>
  <Lines>65</Lines>
  <Paragraphs>18</Paragraphs>
  <ScaleCrop>false</ScaleCrop>
  <Company/>
  <LinksUpToDate>false</LinksUpToDate>
  <CharactersWithSpaces>9280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Segretario Direttore Generale</dc:title>
  <dc:creator>Utente</dc:creator>
  <cp:lastModifiedBy>p.marzola</cp:lastModifiedBy>
  <cp:revision>2</cp:revision>
  <cp:lastPrinted>2021-06-17T15:46:00Z</cp:lastPrinted>
  <dcterms:created xsi:type="dcterms:W3CDTF">2021-06-21T10:34:00Z</dcterms:created>
  <dcterms:modified xsi:type="dcterms:W3CDTF">2021-06-21T10:34:00Z</dcterms:modified>
</cp:coreProperties>
</file>