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BF" w:rsidRDefault="000004BF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IIICC/22961-2021</w:t>
      </w:r>
    </w:p>
    <w:p w:rsidR="000004BF" w:rsidRDefault="000004BF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</w:p>
    <w:p w:rsidR="000004BF" w:rsidRDefault="000004BF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</w:p>
    <w:p w:rsidR="000004BF" w:rsidRDefault="000004BF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ISTRUTTORIA CONSILIARE DEL _________________</w:t>
      </w:r>
    </w:p>
    <w:p w:rsidR="000004BF" w:rsidRDefault="000004BF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</w:p>
    <w:p w:rsidR="000004BF" w:rsidRDefault="000004BF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szCs w:val="24"/>
        </w:rPr>
      </w:pPr>
    </w:p>
    <w:p w:rsidR="00E449FB" w:rsidRDefault="00BF6A0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Autorizzazione </w:t>
      </w:r>
      <w:r w:rsidR="002E6814">
        <w:rPr>
          <w:rFonts w:ascii="Times New Roman" w:hAnsi="Times New Roman"/>
          <w:b/>
          <w:szCs w:val="24"/>
        </w:rPr>
        <w:t>alla</w:t>
      </w:r>
      <w:r>
        <w:rPr>
          <w:rFonts w:ascii="Times New Roman" w:hAnsi="Times New Roman"/>
          <w:b/>
          <w:szCs w:val="24"/>
        </w:rPr>
        <w:t xml:space="preserve"> deroga ai vincoli cimiteriali </w:t>
      </w:r>
      <w:r w:rsidR="007A5880">
        <w:rPr>
          <w:rFonts w:ascii="Times New Roman" w:hAnsi="Times New Roman"/>
          <w:b/>
          <w:szCs w:val="24"/>
        </w:rPr>
        <w:t>imposti dal RUE vigente richiesta in data 28/10/2020</w:t>
      </w:r>
      <w:r w:rsidR="00B907AB">
        <w:rPr>
          <w:rFonts w:ascii="Times New Roman" w:hAnsi="Times New Roman"/>
          <w:b/>
          <w:szCs w:val="24"/>
        </w:rPr>
        <w:t xml:space="preserve"> con P.G. 115612/20 da Hera S.p.A. Holding Energia Risorse Ambiente per l’adeguamento della rete fognaria in località Denore </w:t>
      </w:r>
      <w:r w:rsidR="0007591E">
        <w:rPr>
          <w:rFonts w:ascii="Times New Roman" w:hAnsi="Times New Roman"/>
          <w:b/>
          <w:szCs w:val="24"/>
        </w:rPr>
        <w:t>– Comune di Ferrara</w:t>
      </w:r>
      <w:r w:rsidR="000004BF">
        <w:rPr>
          <w:rFonts w:ascii="Times New Roman" w:hAnsi="Times New Roman"/>
          <w:b/>
          <w:szCs w:val="24"/>
        </w:rPr>
        <w:t>.</w:t>
      </w:r>
    </w:p>
    <w:p w:rsidR="007A5880" w:rsidRPr="00D037F5" w:rsidRDefault="007A5880">
      <w:pPr>
        <w:pStyle w:val="Corpodeltesto"/>
        <w:pBdr>
          <w:left w:val="none" w:sz="0" w:space="0" w:color="auto"/>
          <w:right w:val="none" w:sz="0" w:space="0" w:color="auto"/>
        </w:pBdr>
        <w:rPr>
          <w:rFonts w:ascii="Times New Roman" w:hAnsi="Times New Roman"/>
          <w:b/>
          <w:szCs w:val="24"/>
        </w:rPr>
      </w:pPr>
    </w:p>
    <w:p w:rsidR="00E449FB" w:rsidRPr="00D037F5" w:rsidRDefault="00E449FB">
      <w:pPr>
        <w:jc w:val="both"/>
        <w:rPr>
          <w:sz w:val="24"/>
          <w:szCs w:val="24"/>
        </w:rPr>
      </w:pPr>
    </w:p>
    <w:p w:rsidR="00E449FB" w:rsidRPr="00D037F5" w:rsidRDefault="00E449FB">
      <w:pPr>
        <w:pStyle w:val="Titolo1"/>
        <w:rPr>
          <w:rFonts w:ascii="Times New Roman" w:hAnsi="Times New Roman"/>
          <w:b/>
          <w:szCs w:val="24"/>
        </w:rPr>
      </w:pPr>
      <w:r w:rsidRPr="00D037F5">
        <w:rPr>
          <w:rFonts w:ascii="Times New Roman" w:hAnsi="Times New Roman"/>
          <w:b/>
          <w:szCs w:val="24"/>
        </w:rPr>
        <w:t>IL CONSIGLIO COMUNALE</w:t>
      </w:r>
    </w:p>
    <w:p w:rsidR="00E449FB" w:rsidRDefault="00E449FB">
      <w:pPr>
        <w:jc w:val="both"/>
        <w:rPr>
          <w:sz w:val="24"/>
          <w:szCs w:val="24"/>
        </w:rPr>
      </w:pPr>
    </w:p>
    <w:p w:rsidR="000004BF" w:rsidRPr="00D037F5" w:rsidRDefault="000004BF">
      <w:pPr>
        <w:jc w:val="both"/>
        <w:rPr>
          <w:sz w:val="24"/>
          <w:szCs w:val="24"/>
        </w:rPr>
      </w:pPr>
    </w:p>
    <w:p w:rsidR="00E449FB" w:rsidRDefault="0007591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Vista la delibera consiliare </w:t>
      </w:r>
      <w:r w:rsidRPr="0007591E">
        <w:rPr>
          <w:sz w:val="24"/>
          <w:szCs w:val="24"/>
        </w:rPr>
        <w:t>P.G. 21901 del 16/04/2009</w:t>
      </w:r>
      <w:r>
        <w:rPr>
          <w:sz w:val="24"/>
          <w:szCs w:val="24"/>
        </w:rPr>
        <w:t xml:space="preserve"> di approvazione del Piano Strutturale Comunale (PSC);</w:t>
      </w:r>
    </w:p>
    <w:p w:rsidR="00863530" w:rsidRDefault="00863530">
      <w:pPr>
        <w:jc w:val="both"/>
        <w:rPr>
          <w:sz w:val="24"/>
          <w:szCs w:val="24"/>
        </w:rPr>
      </w:pPr>
    </w:p>
    <w:p w:rsidR="00863530" w:rsidRDefault="00863530">
      <w:pPr>
        <w:jc w:val="both"/>
        <w:rPr>
          <w:sz w:val="24"/>
          <w:szCs w:val="24"/>
        </w:rPr>
      </w:pPr>
      <w:r>
        <w:rPr>
          <w:sz w:val="24"/>
          <w:szCs w:val="24"/>
        </w:rPr>
        <w:t>Vista la delibera consigliare PG 39286 del 10/06/2013 di approvazione del Regolamento Urbanistico Edilizio</w:t>
      </w:r>
      <w:r w:rsidR="00DD14CC">
        <w:rPr>
          <w:sz w:val="24"/>
          <w:szCs w:val="24"/>
        </w:rPr>
        <w:t xml:space="preserve"> (RUE) e s.m.i.</w:t>
      </w:r>
      <w:r>
        <w:rPr>
          <w:sz w:val="24"/>
          <w:szCs w:val="24"/>
        </w:rPr>
        <w:t>;</w:t>
      </w:r>
    </w:p>
    <w:p w:rsidR="00863530" w:rsidRDefault="00863530">
      <w:pPr>
        <w:jc w:val="both"/>
        <w:rPr>
          <w:sz w:val="24"/>
          <w:szCs w:val="24"/>
        </w:rPr>
      </w:pPr>
    </w:p>
    <w:p w:rsidR="00DD14CC" w:rsidRDefault="00D54EA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Vista la L.R. n.15 del </w:t>
      </w:r>
      <w:r w:rsidR="00DD14CC">
        <w:rPr>
          <w:sz w:val="24"/>
          <w:szCs w:val="24"/>
        </w:rPr>
        <w:t>30/07/2013 e s.m.i, art. 10, riguardo le procedure abilitative speciali;</w:t>
      </w:r>
    </w:p>
    <w:p w:rsidR="00DD14CC" w:rsidRDefault="00DD14CC">
      <w:pPr>
        <w:jc w:val="both"/>
        <w:rPr>
          <w:sz w:val="24"/>
          <w:szCs w:val="24"/>
        </w:rPr>
      </w:pPr>
    </w:p>
    <w:p w:rsidR="0007591E" w:rsidRDefault="00DD14CC">
      <w:pPr>
        <w:jc w:val="both"/>
        <w:rPr>
          <w:sz w:val="24"/>
          <w:szCs w:val="24"/>
        </w:rPr>
      </w:pPr>
      <w:r>
        <w:rPr>
          <w:sz w:val="24"/>
          <w:szCs w:val="24"/>
        </w:rPr>
        <w:t>Visto l’art. 119.4 del Regolamento Urbanistico Edilizio (RUE);</w:t>
      </w:r>
    </w:p>
    <w:p w:rsidR="00DD14CC" w:rsidRDefault="00DD14CC">
      <w:pPr>
        <w:jc w:val="both"/>
        <w:rPr>
          <w:sz w:val="24"/>
          <w:szCs w:val="24"/>
        </w:rPr>
      </w:pPr>
    </w:p>
    <w:p w:rsidR="00DD14CC" w:rsidRDefault="00DD14CC">
      <w:pPr>
        <w:jc w:val="both"/>
        <w:rPr>
          <w:sz w:val="24"/>
          <w:szCs w:val="24"/>
        </w:rPr>
      </w:pPr>
      <w:r>
        <w:rPr>
          <w:sz w:val="24"/>
          <w:szCs w:val="24"/>
        </w:rPr>
        <w:t>Visto l’art. 338 R.D. 1265/1934</w:t>
      </w:r>
      <w:r w:rsidR="008536D8">
        <w:rPr>
          <w:sz w:val="24"/>
          <w:szCs w:val="24"/>
        </w:rPr>
        <w:t xml:space="preserve"> e s.m.i.</w:t>
      </w:r>
      <w:r>
        <w:rPr>
          <w:sz w:val="24"/>
          <w:szCs w:val="24"/>
        </w:rPr>
        <w:t>, riguardo la distanza dei cimiteri dai centri abitati;</w:t>
      </w:r>
    </w:p>
    <w:p w:rsidR="00DD14CC" w:rsidRDefault="00DD14CC">
      <w:pPr>
        <w:jc w:val="both"/>
        <w:rPr>
          <w:sz w:val="24"/>
          <w:szCs w:val="24"/>
        </w:rPr>
      </w:pPr>
    </w:p>
    <w:p w:rsidR="00DD14CC" w:rsidRDefault="00DD14CC">
      <w:pPr>
        <w:jc w:val="both"/>
        <w:rPr>
          <w:sz w:val="24"/>
          <w:szCs w:val="24"/>
        </w:rPr>
      </w:pPr>
      <w:r>
        <w:rPr>
          <w:sz w:val="24"/>
          <w:szCs w:val="24"/>
        </w:rPr>
        <w:t>Vista la L.R. n. 19/2004 e s.m.i., art. 4 riguardo la realizzazione di cimiteri e crematori;</w:t>
      </w:r>
    </w:p>
    <w:p w:rsidR="00DD14CC" w:rsidRDefault="00DD14CC">
      <w:pPr>
        <w:jc w:val="both"/>
        <w:rPr>
          <w:sz w:val="24"/>
          <w:szCs w:val="24"/>
        </w:rPr>
      </w:pPr>
    </w:p>
    <w:p w:rsidR="00B14B8F" w:rsidRDefault="00604E1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Visto le indicazioni </w:t>
      </w:r>
      <w:r w:rsidR="00EF0B91">
        <w:rPr>
          <w:sz w:val="24"/>
          <w:szCs w:val="24"/>
        </w:rPr>
        <w:t>della R</w:t>
      </w:r>
      <w:r w:rsidR="009344C6">
        <w:rPr>
          <w:sz w:val="24"/>
          <w:szCs w:val="24"/>
        </w:rPr>
        <w:t>egione Emilia Romagna</w:t>
      </w:r>
      <w:r w:rsidR="00EF0B91">
        <w:rPr>
          <w:sz w:val="24"/>
          <w:szCs w:val="24"/>
        </w:rPr>
        <w:t xml:space="preserve"> nella nota del 21/05/2005 prot. n. AMP/DPA/1493;</w:t>
      </w:r>
    </w:p>
    <w:p w:rsidR="00DD14CC" w:rsidRPr="00D037F5" w:rsidRDefault="00DD14CC">
      <w:pPr>
        <w:jc w:val="both"/>
        <w:rPr>
          <w:sz w:val="24"/>
          <w:szCs w:val="24"/>
        </w:rPr>
      </w:pPr>
    </w:p>
    <w:p w:rsidR="00E449FB" w:rsidRPr="00EF6C6B" w:rsidRDefault="00E449FB">
      <w:pPr>
        <w:jc w:val="both"/>
        <w:rPr>
          <w:b/>
          <w:sz w:val="24"/>
          <w:szCs w:val="24"/>
        </w:rPr>
      </w:pPr>
      <w:r w:rsidRPr="00EF6C6B">
        <w:rPr>
          <w:b/>
          <w:sz w:val="24"/>
          <w:szCs w:val="24"/>
        </w:rPr>
        <w:t>Premesso:</w:t>
      </w:r>
    </w:p>
    <w:p w:rsidR="00E009DB" w:rsidRPr="00737548" w:rsidRDefault="00E009DB">
      <w:pPr>
        <w:jc w:val="both"/>
        <w:rPr>
          <w:color w:val="FF0000"/>
          <w:sz w:val="24"/>
          <w:szCs w:val="24"/>
        </w:rPr>
      </w:pPr>
    </w:p>
    <w:p w:rsidR="00E009DB" w:rsidRDefault="00D864D9" w:rsidP="009908E5">
      <w:pPr>
        <w:numPr>
          <w:ilvl w:val="0"/>
          <w:numId w:val="3"/>
        </w:numPr>
        <w:jc w:val="both"/>
        <w:rPr>
          <w:sz w:val="24"/>
          <w:szCs w:val="24"/>
        </w:rPr>
      </w:pPr>
      <w:r w:rsidRPr="0007591E">
        <w:rPr>
          <w:sz w:val="24"/>
          <w:szCs w:val="24"/>
        </w:rPr>
        <w:t xml:space="preserve">che </w:t>
      </w:r>
      <w:r w:rsidR="00492BBF">
        <w:rPr>
          <w:sz w:val="24"/>
          <w:szCs w:val="24"/>
        </w:rPr>
        <w:t xml:space="preserve">Hera S.p.A – Holding Energia Risorse Ambiente, ha presentato tramite PEC in data 28/10/2020 con P.G. 115612, richiesta di approvazione </w:t>
      </w:r>
      <w:r w:rsidR="008153F3">
        <w:rPr>
          <w:sz w:val="24"/>
          <w:szCs w:val="24"/>
        </w:rPr>
        <w:t xml:space="preserve">da parte del Comune di Ferrara </w:t>
      </w:r>
      <w:r w:rsidR="00492BBF">
        <w:rPr>
          <w:sz w:val="24"/>
          <w:szCs w:val="24"/>
        </w:rPr>
        <w:t xml:space="preserve">del progetto </w:t>
      </w:r>
      <w:r w:rsidR="00D637A7">
        <w:rPr>
          <w:sz w:val="24"/>
          <w:szCs w:val="24"/>
        </w:rPr>
        <w:t xml:space="preserve">definitivo </w:t>
      </w:r>
      <w:r w:rsidR="00492BBF">
        <w:rPr>
          <w:sz w:val="24"/>
          <w:szCs w:val="24"/>
        </w:rPr>
        <w:t>di adeguamento della rete fognaria in località Denore</w:t>
      </w:r>
      <w:r w:rsidR="008153F3">
        <w:rPr>
          <w:sz w:val="24"/>
          <w:szCs w:val="24"/>
        </w:rPr>
        <w:t xml:space="preserve"> ai sensi dell’art. 10 della L.R. 15/2013</w:t>
      </w:r>
      <w:r w:rsidR="00EB2819">
        <w:rPr>
          <w:sz w:val="24"/>
          <w:szCs w:val="24"/>
        </w:rPr>
        <w:t>, comprensiva degli elaborati grafici</w:t>
      </w:r>
      <w:r w:rsidR="00D24B41">
        <w:rPr>
          <w:sz w:val="24"/>
          <w:szCs w:val="24"/>
        </w:rPr>
        <w:t xml:space="preserve"> e documentali</w:t>
      </w:r>
      <w:r w:rsidR="00EB2819">
        <w:rPr>
          <w:sz w:val="24"/>
          <w:szCs w:val="24"/>
        </w:rPr>
        <w:t xml:space="preserve"> di dettaglio</w:t>
      </w:r>
      <w:r w:rsidR="008153F3">
        <w:rPr>
          <w:sz w:val="24"/>
          <w:szCs w:val="24"/>
        </w:rPr>
        <w:t>;</w:t>
      </w:r>
    </w:p>
    <w:p w:rsidR="004008A9" w:rsidRDefault="004008A9" w:rsidP="004008A9">
      <w:pPr>
        <w:jc w:val="both"/>
        <w:rPr>
          <w:sz w:val="24"/>
          <w:szCs w:val="24"/>
        </w:rPr>
      </w:pPr>
    </w:p>
    <w:p w:rsidR="004008A9" w:rsidRDefault="004008A9" w:rsidP="004008A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il progetto ha come finalità l’adeguamento del sistema fognario della località di Denore consistente nell’eliminazione di tre scarichi non depurati in acque superficiali (via Cipressina, via Soffritti e via Panigalli) mediante l’intercettazione degli stessi e il loro convogliamento attraverso tubazioni a gravità, a due impianti di sollevamento di progetto in via Panigalli e via Cipressina tramite i quali si </w:t>
      </w:r>
      <w:r>
        <w:rPr>
          <w:sz w:val="24"/>
          <w:szCs w:val="24"/>
        </w:rPr>
        <w:lastRenderedPageBreak/>
        <w:t>trasferiranno alla rete esistente del Consorzio Acque Delta Ferrarese in località Sabbioncello San Vittore del Comune di Formignana, gravitante al depuratore di Formignana;</w:t>
      </w:r>
    </w:p>
    <w:p w:rsidR="0084074C" w:rsidRDefault="0084074C" w:rsidP="0084074C">
      <w:pPr>
        <w:jc w:val="both"/>
        <w:rPr>
          <w:sz w:val="24"/>
          <w:szCs w:val="24"/>
        </w:rPr>
      </w:pPr>
    </w:p>
    <w:p w:rsidR="00641D89" w:rsidRDefault="00641D89" w:rsidP="00641D89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l’intervento non richiede espropri e non si configura come complesso, e pertanto l’approvazione dell’intervento da parte del Comune di Fer</w:t>
      </w:r>
      <w:r w:rsidR="00553805">
        <w:rPr>
          <w:sz w:val="24"/>
          <w:szCs w:val="24"/>
        </w:rPr>
        <w:t>rara costituisce</w:t>
      </w:r>
      <w:r>
        <w:rPr>
          <w:sz w:val="24"/>
          <w:szCs w:val="24"/>
        </w:rPr>
        <w:t xml:space="preserve"> anche autorizzazione alla realizzazione dell’intervento ai sensi dell’art. 10 della L.R. 15/2013; </w:t>
      </w:r>
    </w:p>
    <w:p w:rsidR="00BF70C4" w:rsidRDefault="00BF70C4" w:rsidP="00BF70C4">
      <w:pPr>
        <w:jc w:val="both"/>
        <w:rPr>
          <w:sz w:val="24"/>
          <w:szCs w:val="24"/>
        </w:rPr>
      </w:pPr>
    </w:p>
    <w:p w:rsidR="00084CF9" w:rsidRDefault="004F1CEA" w:rsidP="009908E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Hera S.p.A – Holding Energia Risorse Ambiente ha richiesto che l’atto di approvazione dovrà costituire anche deroga ai vincoli cimiteriali imposti dal RUE vigente in quanto è prevista</w:t>
      </w:r>
      <w:r w:rsidR="008F7085">
        <w:rPr>
          <w:sz w:val="24"/>
          <w:szCs w:val="24"/>
        </w:rPr>
        <w:t xml:space="preserve"> in via Cipressina,</w:t>
      </w:r>
      <w:r>
        <w:rPr>
          <w:sz w:val="24"/>
          <w:szCs w:val="24"/>
        </w:rPr>
        <w:t xml:space="preserve"> in corrispondenza del F. 187  M. 480</w:t>
      </w:r>
      <w:r w:rsidR="008F7085">
        <w:rPr>
          <w:sz w:val="24"/>
          <w:szCs w:val="24"/>
        </w:rPr>
        <w:t>,</w:t>
      </w:r>
      <w:r>
        <w:rPr>
          <w:sz w:val="24"/>
          <w:szCs w:val="24"/>
        </w:rPr>
        <w:t xml:space="preserve"> la realizzazione di un impianto di sollevamento fognario all’interno della fascia di rispetto del cimitero di Denore;</w:t>
      </w:r>
    </w:p>
    <w:p w:rsidR="00BF70C4" w:rsidRDefault="00BF70C4" w:rsidP="00BF70C4">
      <w:pPr>
        <w:jc w:val="both"/>
        <w:rPr>
          <w:sz w:val="24"/>
          <w:szCs w:val="24"/>
        </w:rPr>
      </w:pPr>
    </w:p>
    <w:p w:rsidR="008536D8" w:rsidRDefault="008F7085" w:rsidP="009908E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</w:t>
      </w:r>
      <w:r w:rsidR="001B6B4F">
        <w:rPr>
          <w:sz w:val="24"/>
          <w:szCs w:val="24"/>
        </w:rPr>
        <w:t>il Servizio Qualità Edilizia Pianificazione Territoriale - U.O. Pianificazione Generale con nota P.G. 13077/21 del 28/01/2021 ha inviato</w:t>
      </w:r>
      <w:r w:rsidR="008536D8" w:rsidRPr="008536D8">
        <w:rPr>
          <w:sz w:val="24"/>
          <w:szCs w:val="24"/>
        </w:rPr>
        <w:t xml:space="preserve"> </w:t>
      </w:r>
      <w:r w:rsidR="008536D8">
        <w:rPr>
          <w:sz w:val="24"/>
          <w:szCs w:val="24"/>
        </w:rPr>
        <w:t xml:space="preserve">all’AUSL – </w:t>
      </w:r>
      <w:r w:rsidR="00C92081">
        <w:rPr>
          <w:sz w:val="24"/>
          <w:szCs w:val="24"/>
        </w:rPr>
        <w:t>Igiene Pubblica</w:t>
      </w:r>
      <w:r w:rsidR="008536D8">
        <w:rPr>
          <w:sz w:val="24"/>
          <w:szCs w:val="24"/>
        </w:rPr>
        <w:t>, come previsto dall’art. 338 del R.D. 1265/1934 e s.m.i., il progetto</w:t>
      </w:r>
      <w:r w:rsidR="00D637A7">
        <w:rPr>
          <w:sz w:val="24"/>
          <w:szCs w:val="24"/>
        </w:rPr>
        <w:t xml:space="preserve"> definit</w:t>
      </w:r>
      <w:r w:rsidR="00BC0BEC">
        <w:rPr>
          <w:sz w:val="24"/>
          <w:szCs w:val="24"/>
        </w:rPr>
        <w:t>i</w:t>
      </w:r>
      <w:r w:rsidR="00D637A7">
        <w:rPr>
          <w:sz w:val="24"/>
          <w:szCs w:val="24"/>
        </w:rPr>
        <w:t>vo</w:t>
      </w:r>
      <w:r w:rsidR="008536D8">
        <w:rPr>
          <w:sz w:val="24"/>
          <w:szCs w:val="24"/>
        </w:rPr>
        <w:t xml:space="preserve"> di</w:t>
      </w:r>
      <w:r w:rsidR="00045B4D">
        <w:rPr>
          <w:sz w:val="24"/>
          <w:szCs w:val="24"/>
        </w:rPr>
        <w:t xml:space="preserve"> </w:t>
      </w:r>
      <w:r w:rsidR="008536D8">
        <w:rPr>
          <w:sz w:val="24"/>
          <w:szCs w:val="24"/>
        </w:rPr>
        <w:t xml:space="preserve"> adeguamento</w:t>
      </w:r>
      <w:r w:rsidR="00C92081">
        <w:rPr>
          <w:sz w:val="24"/>
          <w:szCs w:val="24"/>
        </w:rPr>
        <w:t xml:space="preserve"> della rete fognaria in località</w:t>
      </w:r>
      <w:r w:rsidR="008536D8">
        <w:rPr>
          <w:sz w:val="24"/>
          <w:szCs w:val="24"/>
        </w:rPr>
        <w:t xml:space="preserve"> Denore con </w:t>
      </w:r>
      <w:r w:rsidR="001B6B4F">
        <w:rPr>
          <w:sz w:val="24"/>
          <w:szCs w:val="24"/>
        </w:rPr>
        <w:t xml:space="preserve">richiesta di parere in merito </w:t>
      </w:r>
      <w:r w:rsidR="008536D8">
        <w:rPr>
          <w:sz w:val="24"/>
          <w:szCs w:val="24"/>
        </w:rPr>
        <w:t>alla</w:t>
      </w:r>
      <w:r w:rsidR="00C92081">
        <w:rPr>
          <w:sz w:val="24"/>
          <w:szCs w:val="24"/>
        </w:rPr>
        <w:t xml:space="preserve"> deroga per la</w:t>
      </w:r>
      <w:r w:rsidR="008536D8">
        <w:rPr>
          <w:sz w:val="24"/>
          <w:szCs w:val="24"/>
        </w:rPr>
        <w:t xml:space="preserve"> realizzazione di </w:t>
      </w:r>
      <w:r w:rsidR="00C92081">
        <w:rPr>
          <w:sz w:val="24"/>
          <w:szCs w:val="24"/>
        </w:rPr>
        <w:t xml:space="preserve">un impianto di </w:t>
      </w:r>
      <w:r w:rsidR="008536D8">
        <w:rPr>
          <w:sz w:val="24"/>
          <w:szCs w:val="24"/>
        </w:rPr>
        <w:t>sollevamento fognario</w:t>
      </w:r>
      <w:r w:rsidR="00A22E1B">
        <w:rPr>
          <w:sz w:val="24"/>
          <w:szCs w:val="24"/>
        </w:rPr>
        <w:t xml:space="preserve"> in via Cipressina</w:t>
      </w:r>
      <w:r w:rsidR="008536D8">
        <w:rPr>
          <w:sz w:val="24"/>
          <w:szCs w:val="24"/>
        </w:rPr>
        <w:t xml:space="preserve"> all’interno della fascia di rispetto del cimitero di Denore;</w:t>
      </w:r>
    </w:p>
    <w:p w:rsidR="00BF70C4" w:rsidRDefault="00BF70C4" w:rsidP="00BF70C4">
      <w:pPr>
        <w:jc w:val="both"/>
        <w:rPr>
          <w:sz w:val="24"/>
          <w:szCs w:val="24"/>
        </w:rPr>
      </w:pPr>
    </w:p>
    <w:p w:rsidR="00047119" w:rsidRDefault="00C92081" w:rsidP="009908E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 l’AUSL – Igiene Pubblica con nota PG 15202/21 del 02/02/2021, in merito alla deroga ai vincoli cimiteria</w:t>
      </w:r>
      <w:r w:rsidR="00FA7AB5">
        <w:rPr>
          <w:sz w:val="24"/>
          <w:szCs w:val="24"/>
        </w:rPr>
        <w:t xml:space="preserve">li, ha espresso </w:t>
      </w:r>
      <w:r w:rsidR="00FA7AB5" w:rsidRPr="00FA7AB5">
        <w:rPr>
          <w:b/>
          <w:sz w:val="24"/>
          <w:szCs w:val="24"/>
        </w:rPr>
        <w:t>parere favorevole</w:t>
      </w:r>
      <w:r w:rsidR="00FA7AB5">
        <w:rPr>
          <w:sz w:val="24"/>
          <w:szCs w:val="24"/>
        </w:rPr>
        <w:t xml:space="preserve"> a condizione che venga rispettato quanto previsto </w:t>
      </w:r>
      <w:r w:rsidR="00C7287D">
        <w:rPr>
          <w:sz w:val="24"/>
          <w:szCs w:val="24"/>
        </w:rPr>
        <w:t>da</w:t>
      </w:r>
      <w:r w:rsidR="009344C6">
        <w:rPr>
          <w:sz w:val="24"/>
          <w:szCs w:val="24"/>
        </w:rPr>
        <w:t>lla Regione Emilia Romagna</w:t>
      </w:r>
      <w:r w:rsidR="00FA7AB5" w:rsidRPr="00FA7AB5">
        <w:rPr>
          <w:sz w:val="24"/>
          <w:szCs w:val="24"/>
        </w:rPr>
        <w:t xml:space="preserve"> </w:t>
      </w:r>
      <w:r w:rsidR="0003284D">
        <w:rPr>
          <w:sz w:val="24"/>
          <w:szCs w:val="24"/>
        </w:rPr>
        <w:t>nella nota del 21/05/2005</w:t>
      </w:r>
      <w:r w:rsidR="00047119">
        <w:rPr>
          <w:sz w:val="24"/>
          <w:szCs w:val="24"/>
        </w:rPr>
        <w:t xml:space="preserve"> prot. n. AMP/DPA/1493 per assicurare la tranquillità e il</w:t>
      </w:r>
      <w:r w:rsidR="00BF70C4">
        <w:rPr>
          <w:sz w:val="24"/>
          <w:szCs w:val="24"/>
        </w:rPr>
        <w:t xml:space="preserve"> decoro dei luoghi di sepoltura;</w:t>
      </w:r>
    </w:p>
    <w:p w:rsidR="00BF70C4" w:rsidRDefault="00BF70C4" w:rsidP="00BF70C4">
      <w:pPr>
        <w:jc w:val="both"/>
        <w:rPr>
          <w:sz w:val="24"/>
          <w:szCs w:val="24"/>
        </w:rPr>
      </w:pPr>
    </w:p>
    <w:p w:rsidR="00A35A0D" w:rsidRDefault="00A35A0D" w:rsidP="009908E5">
      <w:pPr>
        <w:numPr>
          <w:ilvl w:val="0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</w:t>
      </w:r>
      <w:r w:rsidR="00800230">
        <w:rPr>
          <w:sz w:val="24"/>
          <w:szCs w:val="24"/>
        </w:rPr>
        <w:t>l’area oggetto della deroga</w:t>
      </w:r>
      <w:r>
        <w:rPr>
          <w:sz w:val="24"/>
          <w:szCs w:val="24"/>
        </w:rPr>
        <w:t xml:space="preserve"> ricade in area classificata dal RUE vigente come segue:</w:t>
      </w:r>
    </w:p>
    <w:p w:rsidR="00A35A0D" w:rsidRDefault="00145AA9" w:rsidP="00145AA9">
      <w:pPr>
        <w:numPr>
          <w:ilvl w:val="0"/>
          <w:numId w:val="7"/>
        </w:numPr>
        <w:ind w:firstLine="66"/>
        <w:jc w:val="both"/>
        <w:rPr>
          <w:sz w:val="24"/>
          <w:szCs w:val="24"/>
        </w:rPr>
      </w:pPr>
      <w:r>
        <w:rPr>
          <w:sz w:val="24"/>
          <w:szCs w:val="24"/>
        </w:rPr>
        <w:t>Aree agricole del forese – art. 102-3.5</w:t>
      </w:r>
      <w:r w:rsidR="00487DDD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145AA9" w:rsidRDefault="00145AA9" w:rsidP="00145AA9">
      <w:pPr>
        <w:numPr>
          <w:ilvl w:val="0"/>
          <w:numId w:val="7"/>
        </w:numPr>
        <w:ind w:firstLine="6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Zona Tampone del Sito Unesco </w:t>
      </w:r>
      <w:r w:rsidR="000642FA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800230">
        <w:rPr>
          <w:sz w:val="24"/>
          <w:szCs w:val="24"/>
        </w:rPr>
        <w:t>art. 107-2.2</w:t>
      </w:r>
      <w:r w:rsidR="00487DDD">
        <w:rPr>
          <w:sz w:val="24"/>
          <w:szCs w:val="24"/>
        </w:rPr>
        <w:t>;</w:t>
      </w:r>
      <w:r w:rsidR="00487DDD" w:rsidRPr="00487DDD">
        <w:rPr>
          <w:sz w:val="24"/>
          <w:szCs w:val="24"/>
        </w:rPr>
        <w:t xml:space="preserve"> </w:t>
      </w:r>
    </w:p>
    <w:p w:rsidR="000642FA" w:rsidRDefault="000642FA" w:rsidP="00145AA9">
      <w:pPr>
        <w:numPr>
          <w:ilvl w:val="0"/>
          <w:numId w:val="7"/>
        </w:numPr>
        <w:ind w:firstLine="66"/>
        <w:jc w:val="both"/>
        <w:rPr>
          <w:sz w:val="24"/>
          <w:szCs w:val="24"/>
        </w:rPr>
      </w:pPr>
      <w:r>
        <w:rPr>
          <w:sz w:val="24"/>
          <w:szCs w:val="24"/>
        </w:rPr>
        <w:t>Aree di rispetto panoramico – art.</w:t>
      </w:r>
      <w:r w:rsidR="00800230">
        <w:rPr>
          <w:sz w:val="24"/>
          <w:szCs w:val="24"/>
        </w:rPr>
        <w:t xml:space="preserve"> 107-3.1</w:t>
      </w:r>
      <w:r w:rsidR="00487DDD">
        <w:rPr>
          <w:sz w:val="24"/>
          <w:szCs w:val="24"/>
        </w:rPr>
        <w:t>;</w:t>
      </w:r>
      <w:r w:rsidR="00487DDD" w:rsidRPr="00487DDD">
        <w:rPr>
          <w:sz w:val="24"/>
          <w:szCs w:val="24"/>
        </w:rPr>
        <w:t xml:space="preserve"> </w:t>
      </w:r>
    </w:p>
    <w:p w:rsidR="00BF70C4" w:rsidRDefault="00800230" w:rsidP="00145AA9">
      <w:pPr>
        <w:numPr>
          <w:ilvl w:val="0"/>
          <w:numId w:val="7"/>
        </w:numPr>
        <w:ind w:firstLine="66"/>
        <w:jc w:val="both"/>
        <w:rPr>
          <w:sz w:val="24"/>
          <w:szCs w:val="24"/>
        </w:rPr>
      </w:pPr>
      <w:r>
        <w:rPr>
          <w:sz w:val="24"/>
          <w:szCs w:val="24"/>
        </w:rPr>
        <w:t>Rispetto infrastrutture – Fasce di rispetto dei cimiteri – art. 119.4</w:t>
      </w:r>
      <w:r w:rsidR="00487DDD">
        <w:rPr>
          <w:sz w:val="24"/>
          <w:szCs w:val="24"/>
        </w:rPr>
        <w:t>;</w:t>
      </w:r>
    </w:p>
    <w:p w:rsidR="00145AA9" w:rsidRPr="00CF2268" w:rsidRDefault="00800230" w:rsidP="00CF2268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F386F" w:rsidRDefault="004F386F" w:rsidP="004F386F">
      <w:pPr>
        <w:jc w:val="both"/>
        <w:rPr>
          <w:b/>
          <w:sz w:val="24"/>
          <w:szCs w:val="24"/>
        </w:rPr>
      </w:pPr>
      <w:r w:rsidRPr="00EF6C6B">
        <w:rPr>
          <w:b/>
          <w:sz w:val="24"/>
          <w:szCs w:val="24"/>
        </w:rPr>
        <w:t>Pr</w:t>
      </w:r>
      <w:r>
        <w:rPr>
          <w:b/>
          <w:sz w:val="24"/>
          <w:szCs w:val="24"/>
        </w:rPr>
        <w:t>ecisato</w:t>
      </w:r>
      <w:r w:rsidRPr="00EF6C6B">
        <w:rPr>
          <w:b/>
          <w:sz w:val="24"/>
          <w:szCs w:val="24"/>
        </w:rPr>
        <w:t>:</w:t>
      </w:r>
    </w:p>
    <w:p w:rsidR="004F386F" w:rsidRPr="004F386F" w:rsidRDefault="004F386F" w:rsidP="004F386F">
      <w:pPr>
        <w:jc w:val="both"/>
        <w:rPr>
          <w:b/>
          <w:sz w:val="24"/>
          <w:szCs w:val="24"/>
        </w:rPr>
      </w:pPr>
    </w:p>
    <w:p w:rsidR="00045B4D" w:rsidRDefault="00CD4991" w:rsidP="009908E5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E744E4">
        <w:rPr>
          <w:sz w:val="24"/>
          <w:szCs w:val="24"/>
        </w:rPr>
        <w:t>he</w:t>
      </w:r>
      <w:r w:rsidR="00191628" w:rsidRPr="00191628">
        <w:rPr>
          <w:sz w:val="24"/>
          <w:szCs w:val="24"/>
        </w:rPr>
        <w:t xml:space="preserve"> </w:t>
      </w:r>
      <w:r w:rsidR="00191628">
        <w:rPr>
          <w:sz w:val="24"/>
          <w:szCs w:val="24"/>
        </w:rPr>
        <w:t>l’art. 338 del R.D. 1265/1934 e s.m.i. vigente</w:t>
      </w:r>
      <w:r w:rsidR="00AC388D">
        <w:rPr>
          <w:sz w:val="24"/>
          <w:szCs w:val="24"/>
        </w:rPr>
        <w:t xml:space="preserve"> </w:t>
      </w:r>
      <w:r w:rsidR="00977823">
        <w:rPr>
          <w:sz w:val="24"/>
          <w:szCs w:val="24"/>
        </w:rPr>
        <w:t>preved</w:t>
      </w:r>
      <w:r w:rsidR="00CF2268">
        <w:rPr>
          <w:sz w:val="24"/>
          <w:szCs w:val="24"/>
        </w:rPr>
        <w:t>e</w:t>
      </w:r>
      <w:r w:rsidR="00977823">
        <w:rPr>
          <w:sz w:val="24"/>
          <w:szCs w:val="24"/>
        </w:rPr>
        <w:t xml:space="preserve"> la possibilità, previo parere favorevole della competente azienda sanitaria locale,</w:t>
      </w:r>
      <w:r w:rsidR="00084CF9">
        <w:rPr>
          <w:sz w:val="24"/>
          <w:szCs w:val="24"/>
        </w:rPr>
        <w:t xml:space="preserve"> </w:t>
      </w:r>
      <w:r w:rsidR="00977823">
        <w:rPr>
          <w:sz w:val="24"/>
          <w:szCs w:val="24"/>
        </w:rPr>
        <w:t>di consentire la deroga ad interventi all’interno della fascia di rispetto cimiteriale, previa delib</w:t>
      </w:r>
      <w:r w:rsidR="009908E5">
        <w:rPr>
          <w:sz w:val="24"/>
          <w:szCs w:val="24"/>
        </w:rPr>
        <w:t>erazione del Consiglio Comunale;</w:t>
      </w:r>
    </w:p>
    <w:p w:rsidR="00831F23" w:rsidRDefault="00A35A0D" w:rsidP="00A35A0D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che, in particolare, la deroga ai vincoli cimiteriali imposti dal RUE vigente riguarda esclusivamente la realizzazione di un impianto di sollevamento fognario all’interno della fascia di rispetto del cimitero di Denore, in corrispondenza</w:t>
      </w:r>
      <w:r w:rsidR="00D24B41">
        <w:rPr>
          <w:sz w:val="24"/>
          <w:szCs w:val="24"/>
        </w:rPr>
        <w:t xml:space="preserve"> del F. </w:t>
      </w:r>
      <w:smartTag w:uri="urn:schemas-microsoft-com:office:smarttags" w:element="metricconverter">
        <w:smartTagPr>
          <w:attr w:name="ProductID" w:val="187 M"/>
        </w:smartTagPr>
        <w:r w:rsidR="00D24B41">
          <w:rPr>
            <w:sz w:val="24"/>
            <w:szCs w:val="24"/>
          </w:rPr>
          <w:t xml:space="preserve">187 </w:t>
        </w:r>
        <w:r>
          <w:rPr>
            <w:sz w:val="24"/>
            <w:szCs w:val="24"/>
          </w:rPr>
          <w:t>M</w:t>
        </w:r>
      </w:smartTag>
      <w:r>
        <w:rPr>
          <w:sz w:val="24"/>
          <w:szCs w:val="24"/>
        </w:rPr>
        <w:t>. 480;</w:t>
      </w:r>
    </w:p>
    <w:p w:rsidR="00270A68" w:rsidRDefault="00270A68" w:rsidP="00270A68">
      <w:pPr>
        <w:jc w:val="both"/>
        <w:rPr>
          <w:b/>
          <w:sz w:val="24"/>
          <w:szCs w:val="24"/>
        </w:rPr>
      </w:pPr>
    </w:p>
    <w:p w:rsidR="000004BF" w:rsidRDefault="000004BF" w:rsidP="00270A68">
      <w:pPr>
        <w:jc w:val="both"/>
        <w:rPr>
          <w:b/>
          <w:sz w:val="24"/>
          <w:szCs w:val="24"/>
        </w:rPr>
      </w:pPr>
    </w:p>
    <w:p w:rsidR="000004BF" w:rsidRDefault="000004BF" w:rsidP="00270A68">
      <w:pPr>
        <w:jc w:val="both"/>
        <w:rPr>
          <w:b/>
          <w:sz w:val="24"/>
          <w:szCs w:val="24"/>
        </w:rPr>
      </w:pPr>
    </w:p>
    <w:p w:rsidR="00270A68" w:rsidRDefault="00270A68" w:rsidP="00270A6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Visti</w:t>
      </w:r>
      <w:r w:rsidRPr="00EF6C6B">
        <w:rPr>
          <w:b/>
          <w:sz w:val="24"/>
          <w:szCs w:val="24"/>
        </w:rPr>
        <w:t>:</w:t>
      </w:r>
    </w:p>
    <w:p w:rsidR="00270A68" w:rsidRDefault="00270A68" w:rsidP="00270A68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il parere favorevole condizionato dell’AUSL – Igiene Pubblica con nota PG 15202/21 del 02/02/2021;</w:t>
      </w:r>
    </w:p>
    <w:p w:rsidR="00FA7AB5" w:rsidRDefault="00FA7AB5" w:rsidP="004F386F">
      <w:pPr>
        <w:jc w:val="both"/>
        <w:rPr>
          <w:sz w:val="24"/>
          <w:szCs w:val="24"/>
        </w:rPr>
      </w:pPr>
    </w:p>
    <w:p w:rsidR="00270A68" w:rsidRDefault="00270A68" w:rsidP="00270A6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Considerato</w:t>
      </w:r>
      <w:r w:rsidRPr="00EF6C6B">
        <w:rPr>
          <w:b/>
          <w:sz w:val="24"/>
          <w:szCs w:val="24"/>
        </w:rPr>
        <w:t>:</w:t>
      </w:r>
    </w:p>
    <w:p w:rsidR="00831F23" w:rsidRPr="00F44284" w:rsidRDefault="00831F23" w:rsidP="00270A68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c</w:t>
      </w:r>
      <w:r w:rsidR="00CE7CA9">
        <w:rPr>
          <w:sz w:val="24"/>
          <w:szCs w:val="24"/>
        </w:rPr>
        <w:t>he trattandosi di un intervento avente per oggetto l’esecuzione di un’opera pubblica sussistano, nel rispetto delle norme igienico sanitarie e per assicurare la tranquillità e il decoro dei luoghi di sepoltura, i requisiti previsti dall’art. 338 del R.D. 1267/1934 e</w:t>
      </w:r>
      <w:r w:rsidR="00F44284">
        <w:rPr>
          <w:sz w:val="24"/>
          <w:szCs w:val="24"/>
        </w:rPr>
        <w:t xml:space="preserve"> </w:t>
      </w:r>
      <w:r w:rsidR="00CE7CA9">
        <w:rPr>
          <w:sz w:val="24"/>
          <w:szCs w:val="24"/>
        </w:rPr>
        <w:t>di quanto previsto dalla Regione Emilia Romagna</w:t>
      </w:r>
      <w:r w:rsidR="00CE7CA9" w:rsidRPr="00FA7AB5">
        <w:rPr>
          <w:sz w:val="24"/>
          <w:szCs w:val="24"/>
        </w:rPr>
        <w:t xml:space="preserve"> </w:t>
      </w:r>
      <w:r w:rsidR="00CE7CA9">
        <w:rPr>
          <w:sz w:val="24"/>
          <w:szCs w:val="24"/>
        </w:rPr>
        <w:t>nella nota del 21/05/2005 prot. n. AMP/DPA/1493 per l’autorizzazione a</w:t>
      </w:r>
      <w:r w:rsidR="00F44284">
        <w:rPr>
          <w:sz w:val="24"/>
          <w:szCs w:val="24"/>
        </w:rPr>
        <w:t>lla deroga ai vincoli cimiteriali imposti dal RUE vigente;</w:t>
      </w:r>
    </w:p>
    <w:p w:rsidR="00270A68" w:rsidRDefault="00270A68" w:rsidP="004F386F">
      <w:pPr>
        <w:jc w:val="both"/>
        <w:rPr>
          <w:b/>
          <w:sz w:val="24"/>
          <w:szCs w:val="24"/>
        </w:rPr>
      </w:pPr>
    </w:p>
    <w:p w:rsidR="004F386F" w:rsidRDefault="004F386F" w:rsidP="004F386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Visti</w:t>
      </w:r>
      <w:r w:rsidRPr="00EF6C6B">
        <w:rPr>
          <w:b/>
          <w:sz w:val="24"/>
          <w:szCs w:val="24"/>
        </w:rPr>
        <w:t>:</w:t>
      </w:r>
    </w:p>
    <w:p w:rsidR="00FA7AB5" w:rsidRDefault="00FA7AB5" w:rsidP="00FA7AB5">
      <w:pPr>
        <w:jc w:val="both"/>
        <w:rPr>
          <w:sz w:val="24"/>
          <w:szCs w:val="24"/>
        </w:rPr>
      </w:pPr>
    </w:p>
    <w:p w:rsidR="00CD4991" w:rsidRDefault="00CD4991" w:rsidP="00CD499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la L.R.  n.15 del 30/07/2013 e s.m.i, art. 10;</w:t>
      </w:r>
    </w:p>
    <w:p w:rsidR="00CD4991" w:rsidRDefault="00084219" w:rsidP="00CD499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l’art. 119.4 del Regolamento Urbanistico Edilizio (RUE);</w:t>
      </w:r>
    </w:p>
    <w:p w:rsidR="00084219" w:rsidRDefault="00084219" w:rsidP="00CD499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l’art. 338 R.D. 1265/1934 e s.m.i;</w:t>
      </w:r>
    </w:p>
    <w:p w:rsidR="00084219" w:rsidRDefault="00084219" w:rsidP="00CD4991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l’art. 4 della L.R. n. 19/2004 e s.m.i.;</w:t>
      </w:r>
    </w:p>
    <w:p w:rsidR="00084219" w:rsidRDefault="00084219" w:rsidP="00084219">
      <w:pPr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le indicazioni della Regione Emilia Romagna nella nota del 21/05/2005 prot. n. AMP/DPA/1493;</w:t>
      </w:r>
    </w:p>
    <w:p w:rsidR="00084219" w:rsidRDefault="00084219" w:rsidP="00084219">
      <w:pPr>
        <w:jc w:val="both"/>
        <w:rPr>
          <w:sz w:val="24"/>
          <w:szCs w:val="24"/>
        </w:rPr>
      </w:pPr>
    </w:p>
    <w:p w:rsidR="00E449FB" w:rsidRPr="00737548" w:rsidRDefault="00B55726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color w:val="FF0000"/>
          <w:szCs w:val="24"/>
        </w:rPr>
      </w:pPr>
      <w:r w:rsidRPr="00CD4991">
        <w:rPr>
          <w:rFonts w:ascii="Times New Roman" w:hAnsi="Times New Roman"/>
          <w:b/>
          <w:szCs w:val="24"/>
        </w:rPr>
        <w:t>Visti</w:t>
      </w:r>
      <w:r w:rsidRPr="00B55726">
        <w:rPr>
          <w:rFonts w:ascii="Times New Roman" w:hAnsi="Times New Roman"/>
          <w:szCs w:val="24"/>
        </w:rPr>
        <w:t xml:space="preserve"> i pareri favorevoli rispettivamente espressi dal Dirigente</w:t>
      </w:r>
      <w:r>
        <w:rPr>
          <w:rFonts w:ascii="Times New Roman" w:hAnsi="Times New Roman"/>
          <w:szCs w:val="24"/>
        </w:rPr>
        <w:t xml:space="preserve"> del Settore Governo del Territorio proponente e dal Dirigente del Servizio Contabilità e Bilancio in ordine</w:t>
      </w:r>
      <w:r>
        <w:rPr>
          <w:rFonts w:ascii="Times New Roman" w:hAnsi="Times New Roman"/>
          <w:color w:val="FF0000"/>
          <w:szCs w:val="24"/>
        </w:rPr>
        <w:t xml:space="preserve"> </w:t>
      </w:r>
      <w:r w:rsidR="00E449FB" w:rsidRPr="00737548">
        <w:rPr>
          <w:rFonts w:ascii="Times New Roman" w:hAnsi="Times New Roman"/>
          <w:color w:val="FF0000"/>
          <w:szCs w:val="24"/>
        </w:rPr>
        <w:t xml:space="preserve"> </w:t>
      </w:r>
      <w:r w:rsidR="00E449FB" w:rsidRPr="00B55726">
        <w:rPr>
          <w:rFonts w:ascii="Times New Roman" w:hAnsi="Times New Roman"/>
          <w:szCs w:val="24"/>
        </w:rPr>
        <w:t xml:space="preserve">alla regolarità tecnica </w:t>
      </w:r>
      <w:r w:rsidRPr="00B55726">
        <w:rPr>
          <w:rFonts w:ascii="Times New Roman" w:hAnsi="Times New Roman"/>
          <w:szCs w:val="24"/>
        </w:rPr>
        <w:t xml:space="preserve"> </w:t>
      </w:r>
      <w:r w:rsidR="00084219">
        <w:rPr>
          <w:rFonts w:ascii="Times New Roman" w:hAnsi="Times New Roman"/>
          <w:szCs w:val="24"/>
        </w:rPr>
        <w:t xml:space="preserve">e contabile </w:t>
      </w:r>
      <w:r w:rsidR="00E449FB" w:rsidRPr="00B55726">
        <w:rPr>
          <w:rFonts w:ascii="Times New Roman" w:hAnsi="Times New Roman"/>
          <w:szCs w:val="24"/>
        </w:rPr>
        <w:t>(art. 49 –</w:t>
      </w:r>
      <w:r w:rsidRPr="00B55726">
        <w:rPr>
          <w:rFonts w:ascii="Times New Roman" w:hAnsi="Times New Roman"/>
          <w:szCs w:val="24"/>
        </w:rPr>
        <w:t xml:space="preserve"> </w:t>
      </w:r>
      <w:r w:rsidR="00E449FB" w:rsidRPr="00B55726">
        <w:rPr>
          <w:rFonts w:ascii="Times New Roman" w:hAnsi="Times New Roman"/>
          <w:szCs w:val="24"/>
        </w:rPr>
        <w:t>comma</w:t>
      </w:r>
      <w:r w:rsidR="000004BF">
        <w:rPr>
          <w:rFonts w:ascii="Times New Roman" w:hAnsi="Times New Roman"/>
          <w:szCs w:val="24"/>
        </w:rPr>
        <w:t xml:space="preserve"> 1- </w:t>
      </w:r>
      <w:r w:rsidR="00E449FB" w:rsidRPr="00B55726">
        <w:rPr>
          <w:rFonts w:ascii="Times New Roman" w:hAnsi="Times New Roman"/>
          <w:szCs w:val="24"/>
        </w:rPr>
        <w:t xml:space="preserve"> </w:t>
      </w:r>
      <w:r w:rsidRPr="00B55726">
        <w:rPr>
          <w:rFonts w:ascii="Times New Roman" w:hAnsi="Times New Roman"/>
          <w:szCs w:val="24"/>
        </w:rPr>
        <w:t xml:space="preserve">del </w:t>
      </w:r>
      <w:r w:rsidR="00E449FB" w:rsidRPr="00B55726">
        <w:rPr>
          <w:rFonts w:ascii="Times New Roman" w:hAnsi="Times New Roman"/>
          <w:szCs w:val="24"/>
        </w:rPr>
        <w:t>D.Lgs. n° 267/2000);</w:t>
      </w:r>
    </w:p>
    <w:p w:rsidR="00E449FB" w:rsidRPr="00737548" w:rsidRDefault="00E449FB">
      <w:pPr>
        <w:pStyle w:val="Rientrocorpodeltesto"/>
        <w:tabs>
          <w:tab w:val="clear" w:pos="284"/>
        </w:tabs>
        <w:ind w:left="0" w:firstLine="0"/>
        <w:rPr>
          <w:rFonts w:ascii="Times New Roman" w:hAnsi="Times New Roman"/>
          <w:color w:val="FF0000"/>
          <w:szCs w:val="24"/>
        </w:rPr>
      </w:pPr>
    </w:p>
    <w:p w:rsidR="00E449FB" w:rsidRPr="008A0B9F" w:rsidRDefault="00E449FB">
      <w:pPr>
        <w:jc w:val="both"/>
        <w:rPr>
          <w:sz w:val="24"/>
          <w:szCs w:val="24"/>
        </w:rPr>
      </w:pPr>
      <w:r w:rsidRPr="00CD4991">
        <w:rPr>
          <w:b/>
          <w:sz w:val="24"/>
          <w:szCs w:val="24"/>
        </w:rPr>
        <w:t>Dato atto</w:t>
      </w:r>
      <w:r w:rsidRPr="008A0B9F">
        <w:rPr>
          <w:sz w:val="24"/>
          <w:szCs w:val="24"/>
        </w:rPr>
        <w:t xml:space="preserve"> che </w:t>
      </w:r>
      <w:r w:rsidR="008A0B9F" w:rsidRPr="008A0B9F">
        <w:rPr>
          <w:sz w:val="24"/>
          <w:szCs w:val="24"/>
        </w:rPr>
        <w:t>il provvedimento</w:t>
      </w:r>
      <w:r w:rsidRPr="008A0B9F">
        <w:rPr>
          <w:sz w:val="24"/>
          <w:szCs w:val="24"/>
        </w:rPr>
        <w:t xml:space="preserve"> non ha rilevanza sotto l’aspetto contabile;</w:t>
      </w:r>
    </w:p>
    <w:p w:rsidR="00E449FB" w:rsidRPr="00DE14A2" w:rsidRDefault="00E449FB">
      <w:pPr>
        <w:jc w:val="both"/>
        <w:rPr>
          <w:sz w:val="24"/>
          <w:szCs w:val="24"/>
        </w:rPr>
      </w:pPr>
    </w:p>
    <w:p w:rsidR="00E449FB" w:rsidRPr="00DE14A2" w:rsidRDefault="00E449FB">
      <w:pPr>
        <w:jc w:val="both"/>
        <w:rPr>
          <w:sz w:val="24"/>
          <w:szCs w:val="24"/>
        </w:rPr>
      </w:pPr>
      <w:r w:rsidRPr="00CD4991">
        <w:rPr>
          <w:b/>
          <w:sz w:val="24"/>
          <w:szCs w:val="24"/>
        </w:rPr>
        <w:t>Sentite</w:t>
      </w:r>
      <w:r w:rsidRPr="00DE14A2">
        <w:rPr>
          <w:sz w:val="24"/>
          <w:szCs w:val="24"/>
        </w:rPr>
        <w:t xml:space="preserve"> la Giunta</w:t>
      </w:r>
      <w:r w:rsidR="000004BF">
        <w:rPr>
          <w:sz w:val="24"/>
          <w:szCs w:val="24"/>
        </w:rPr>
        <w:t xml:space="preserve"> Comunale</w:t>
      </w:r>
      <w:r w:rsidRPr="00DE14A2">
        <w:rPr>
          <w:sz w:val="24"/>
          <w:szCs w:val="24"/>
        </w:rPr>
        <w:t xml:space="preserve"> e la 3^ Commissione Consiliare;</w:t>
      </w:r>
    </w:p>
    <w:p w:rsidR="00E449FB" w:rsidRPr="00737548" w:rsidRDefault="00E449FB">
      <w:pPr>
        <w:jc w:val="both"/>
        <w:rPr>
          <w:color w:val="FF0000"/>
          <w:sz w:val="24"/>
          <w:szCs w:val="24"/>
        </w:rPr>
      </w:pPr>
    </w:p>
    <w:p w:rsidR="00E449FB" w:rsidRPr="008A0B9F" w:rsidRDefault="00E449FB">
      <w:pPr>
        <w:pStyle w:val="Titolo1"/>
        <w:rPr>
          <w:rFonts w:ascii="Times New Roman" w:hAnsi="Times New Roman"/>
          <w:b/>
          <w:szCs w:val="24"/>
        </w:rPr>
      </w:pPr>
      <w:r w:rsidRPr="008A0B9F">
        <w:rPr>
          <w:rFonts w:ascii="Times New Roman" w:hAnsi="Times New Roman"/>
          <w:b/>
          <w:szCs w:val="24"/>
        </w:rPr>
        <w:t>DELIBERA</w:t>
      </w:r>
    </w:p>
    <w:p w:rsidR="00E449FB" w:rsidRPr="008A0B9F" w:rsidRDefault="00E449FB">
      <w:pPr>
        <w:jc w:val="both"/>
        <w:rPr>
          <w:sz w:val="24"/>
          <w:szCs w:val="24"/>
        </w:rPr>
      </w:pPr>
    </w:p>
    <w:p w:rsidR="00F417B8" w:rsidRDefault="00016F9C" w:rsidP="00C43509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8A0B9F">
        <w:rPr>
          <w:sz w:val="24"/>
          <w:szCs w:val="24"/>
        </w:rPr>
        <w:t xml:space="preserve">di </w:t>
      </w:r>
      <w:r w:rsidR="008A0B9F" w:rsidRPr="008A0B9F">
        <w:rPr>
          <w:sz w:val="24"/>
          <w:szCs w:val="24"/>
        </w:rPr>
        <w:t>autorizzare per tutte le motivazioni espresse</w:t>
      </w:r>
      <w:r w:rsidR="008A0B9F">
        <w:rPr>
          <w:sz w:val="24"/>
          <w:szCs w:val="24"/>
        </w:rPr>
        <w:t xml:space="preserve"> nella premessa e qui integralmente richiamate, ai sensi </w:t>
      </w:r>
      <w:r w:rsidR="006F3D7F">
        <w:rPr>
          <w:sz w:val="24"/>
          <w:szCs w:val="24"/>
        </w:rPr>
        <w:t>dell’art. 338 del R.D. 1265/1934 e s.m.i.</w:t>
      </w:r>
      <w:r w:rsidR="00A161D9">
        <w:rPr>
          <w:sz w:val="24"/>
          <w:szCs w:val="24"/>
        </w:rPr>
        <w:t xml:space="preserve">, </w:t>
      </w:r>
      <w:r w:rsidR="006F3D7F">
        <w:rPr>
          <w:sz w:val="24"/>
          <w:szCs w:val="24"/>
        </w:rPr>
        <w:t xml:space="preserve">dell’art. </w:t>
      </w:r>
      <w:r w:rsidR="00A161D9">
        <w:rPr>
          <w:sz w:val="24"/>
          <w:szCs w:val="24"/>
        </w:rPr>
        <w:t xml:space="preserve">119.4 del RUE vigente e </w:t>
      </w:r>
      <w:r w:rsidR="00191628">
        <w:rPr>
          <w:sz w:val="24"/>
          <w:szCs w:val="24"/>
        </w:rPr>
        <w:t xml:space="preserve">secondo </w:t>
      </w:r>
      <w:r w:rsidR="00A161D9">
        <w:rPr>
          <w:sz w:val="24"/>
          <w:szCs w:val="24"/>
        </w:rPr>
        <w:t>quanto previsto dalla Regione Emilia Romagna</w:t>
      </w:r>
      <w:r w:rsidR="00A161D9" w:rsidRPr="00FA7AB5">
        <w:rPr>
          <w:sz w:val="24"/>
          <w:szCs w:val="24"/>
        </w:rPr>
        <w:t xml:space="preserve"> </w:t>
      </w:r>
      <w:r w:rsidR="00A161D9">
        <w:rPr>
          <w:sz w:val="24"/>
          <w:szCs w:val="24"/>
        </w:rPr>
        <w:t>nella nota del 21/05/2005 prot. n. AMP/DPA/1493</w:t>
      </w:r>
      <w:r w:rsidR="00C43509">
        <w:rPr>
          <w:sz w:val="24"/>
          <w:szCs w:val="24"/>
        </w:rPr>
        <w:t xml:space="preserve"> per assicurare la tranquillità e il decoro dei luoghi di sepoltura, </w:t>
      </w:r>
      <w:r w:rsidR="00191628">
        <w:rPr>
          <w:sz w:val="24"/>
          <w:szCs w:val="24"/>
        </w:rPr>
        <w:t xml:space="preserve">la deroga </w:t>
      </w:r>
      <w:r w:rsidR="009908E5">
        <w:rPr>
          <w:sz w:val="24"/>
          <w:szCs w:val="24"/>
        </w:rPr>
        <w:t xml:space="preserve">ai vincoli cimiteriali imposti dal RUE vigente rispetto </w:t>
      </w:r>
      <w:r w:rsidR="00AC388D">
        <w:rPr>
          <w:sz w:val="24"/>
          <w:szCs w:val="24"/>
        </w:rPr>
        <w:t xml:space="preserve">alla realizzazione di un impianto di sollevamento fognario all’interno della fascia di rispetto del cimitero di Denore, in corrispondenza del F. </w:t>
      </w:r>
      <w:smartTag w:uri="urn:schemas-microsoft-com:office:smarttags" w:element="metricconverter">
        <w:smartTagPr>
          <w:attr w:name="ProductID" w:val="187 M"/>
        </w:smartTagPr>
        <w:r w:rsidR="00AC388D">
          <w:rPr>
            <w:sz w:val="24"/>
            <w:szCs w:val="24"/>
          </w:rPr>
          <w:t>187 M</w:t>
        </w:r>
      </w:smartTag>
      <w:r w:rsidR="00AC388D">
        <w:rPr>
          <w:sz w:val="24"/>
          <w:szCs w:val="24"/>
        </w:rPr>
        <w:t>. 4</w:t>
      </w:r>
      <w:r w:rsidR="00CF2268">
        <w:rPr>
          <w:sz w:val="24"/>
          <w:szCs w:val="24"/>
        </w:rPr>
        <w:t>80;</w:t>
      </w:r>
      <w:r w:rsidR="00AC388D">
        <w:rPr>
          <w:sz w:val="24"/>
          <w:szCs w:val="24"/>
        </w:rPr>
        <w:t xml:space="preserve"> </w:t>
      </w:r>
    </w:p>
    <w:p w:rsidR="009908E5" w:rsidRDefault="009908E5" w:rsidP="009908E5">
      <w:pPr>
        <w:jc w:val="both"/>
        <w:rPr>
          <w:sz w:val="24"/>
          <w:szCs w:val="24"/>
        </w:rPr>
      </w:pPr>
    </w:p>
    <w:p w:rsidR="00260D53" w:rsidRPr="00F417B8" w:rsidRDefault="00260D53" w:rsidP="008921CC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sz w:val="24"/>
          <w:szCs w:val="24"/>
        </w:rPr>
      </w:pPr>
      <w:r w:rsidRPr="00DE14A2">
        <w:rPr>
          <w:sz w:val="24"/>
          <w:szCs w:val="24"/>
        </w:rPr>
        <w:t>di dare atto che il responsabile del procedimento è l’arch. Fabrizio Magnani, dirigente del Servizio Quali</w:t>
      </w:r>
      <w:r w:rsidR="009604F7">
        <w:rPr>
          <w:sz w:val="24"/>
          <w:szCs w:val="24"/>
        </w:rPr>
        <w:t>tà E</w:t>
      </w:r>
      <w:r w:rsidR="00BC0BEC">
        <w:rPr>
          <w:sz w:val="24"/>
          <w:szCs w:val="24"/>
        </w:rPr>
        <w:t>dilizia e Pianificazione T</w:t>
      </w:r>
      <w:r w:rsidRPr="00DE14A2">
        <w:rPr>
          <w:sz w:val="24"/>
          <w:szCs w:val="24"/>
        </w:rPr>
        <w:t>erritoriale.</w:t>
      </w:r>
    </w:p>
    <w:p w:rsidR="00260D53" w:rsidRPr="00737548" w:rsidRDefault="00260D53" w:rsidP="00016F9C">
      <w:pPr>
        <w:spacing w:after="240"/>
        <w:jc w:val="both"/>
        <w:rPr>
          <w:color w:val="FF0000"/>
          <w:sz w:val="24"/>
          <w:szCs w:val="24"/>
          <w:highlight w:val="cyan"/>
        </w:rPr>
      </w:pPr>
    </w:p>
    <w:sectPr w:rsidR="00260D53" w:rsidRPr="00737548">
      <w:pgSz w:w="11906" w:h="16838" w:code="9"/>
      <w:pgMar w:top="1701" w:right="1814" w:bottom="1701" w:left="1814" w:header="720" w:footer="720" w:gutter="0"/>
      <w:pgBorders>
        <w:left w:val="double" w:sz="4" w:space="4" w:color="auto"/>
        <w:right w:val="double" w:sz="4" w:space="4" w:color="auto"/>
      </w:pgBorders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963" w:rsidRDefault="00D76963">
      <w:r>
        <w:separator/>
      </w:r>
    </w:p>
  </w:endnote>
  <w:endnote w:type="continuationSeparator" w:id="1">
    <w:p w:rsidR="00D76963" w:rsidRDefault="00D769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@GulimChe"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Gothic-Bold*1~91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Gothic-Bold*1~419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963" w:rsidRDefault="00D76963">
      <w:r>
        <w:separator/>
      </w:r>
    </w:p>
  </w:footnote>
  <w:footnote w:type="continuationSeparator" w:id="1">
    <w:p w:rsidR="00D76963" w:rsidRDefault="00D769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5BDE"/>
    <w:multiLevelType w:val="hybridMultilevel"/>
    <w:tmpl w:val="5D7A6E4E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770061"/>
    <w:multiLevelType w:val="hybridMultilevel"/>
    <w:tmpl w:val="8FC62748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CC7A35"/>
    <w:multiLevelType w:val="multilevel"/>
    <w:tmpl w:val="D52CB80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FD1AD2"/>
    <w:multiLevelType w:val="hybridMultilevel"/>
    <w:tmpl w:val="2730D324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A8F2935"/>
    <w:multiLevelType w:val="hybridMultilevel"/>
    <w:tmpl w:val="1FAC4E3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C4F0C33"/>
    <w:multiLevelType w:val="hybridMultilevel"/>
    <w:tmpl w:val="3CB8E7FE"/>
    <w:lvl w:ilvl="0" w:tplc="E5243BC2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A94743"/>
    <w:multiLevelType w:val="hybridMultilevel"/>
    <w:tmpl w:val="3446B2AE"/>
    <w:lvl w:ilvl="0" w:tplc="8992130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F76D72"/>
    <w:multiLevelType w:val="multilevel"/>
    <w:tmpl w:val="3CB8E7F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@GulimChe" w:hAnsi="Verdana" w:cs="@GulimChe" w:hint="default"/>
        <w:sz w:val="16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EEC72B9"/>
    <w:multiLevelType w:val="hybridMultilevel"/>
    <w:tmpl w:val="D52CB804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2"/>
  </w:num>
  <w:num w:numId="9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3"/>
  <w:embedSystemFonts/>
  <w:stylePaneFormatFilter w:val="3F0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09DB"/>
    <w:rsid w:val="000004BF"/>
    <w:rsid w:val="00016F9C"/>
    <w:rsid w:val="00017306"/>
    <w:rsid w:val="00023DDE"/>
    <w:rsid w:val="000308C7"/>
    <w:rsid w:val="0003284D"/>
    <w:rsid w:val="00032C42"/>
    <w:rsid w:val="000454F0"/>
    <w:rsid w:val="00045B4D"/>
    <w:rsid w:val="00047119"/>
    <w:rsid w:val="0005697F"/>
    <w:rsid w:val="000573CA"/>
    <w:rsid w:val="00060218"/>
    <w:rsid w:val="000642FA"/>
    <w:rsid w:val="000734C0"/>
    <w:rsid w:val="00074464"/>
    <w:rsid w:val="0007591E"/>
    <w:rsid w:val="0007658A"/>
    <w:rsid w:val="00077AC5"/>
    <w:rsid w:val="00084219"/>
    <w:rsid w:val="00084CF9"/>
    <w:rsid w:val="000858D6"/>
    <w:rsid w:val="00085D2D"/>
    <w:rsid w:val="00090755"/>
    <w:rsid w:val="000908E9"/>
    <w:rsid w:val="000A06F4"/>
    <w:rsid w:val="000A1A84"/>
    <w:rsid w:val="000B12C4"/>
    <w:rsid w:val="000F6449"/>
    <w:rsid w:val="000F6F77"/>
    <w:rsid w:val="000F72EC"/>
    <w:rsid w:val="00140B7A"/>
    <w:rsid w:val="00145AA9"/>
    <w:rsid w:val="001602A5"/>
    <w:rsid w:val="00166A90"/>
    <w:rsid w:val="00167A38"/>
    <w:rsid w:val="00173738"/>
    <w:rsid w:val="00191628"/>
    <w:rsid w:val="001B6B4F"/>
    <w:rsid w:val="001D12F1"/>
    <w:rsid w:val="001D1472"/>
    <w:rsid w:val="001D527E"/>
    <w:rsid w:val="001E4829"/>
    <w:rsid w:val="001E572B"/>
    <w:rsid w:val="001F035A"/>
    <w:rsid w:val="00215B3B"/>
    <w:rsid w:val="002244DE"/>
    <w:rsid w:val="00226CBB"/>
    <w:rsid w:val="0023505B"/>
    <w:rsid w:val="002504A5"/>
    <w:rsid w:val="00250B44"/>
    <w:rsid w:val="00255B0C"/>
    <w:rsid w:val="002578CE"/>
    <w:rsid w:val="00257B4E"/>
    <w:rsid w:val="00260D53"/>
    <w:rsid w:val="00261A50"/>
    <w:rsid w:val="00264167"/>
    <w:rsid w:val="00270A68"/>
    <w:rsid w:val="002D284D"/>
    <w:rsid w:val="002E6814"/>
    <w:rsid w:val="002F1A76"/>
    <w:rsid w:val="00305CBD"/>
    <w:rsid w:val="00316CBD"/>
    <w:rsid w:val="00320ABD"/>
    <w:rsid w:val="00330E48"/>
    <w:rsid w:val="003315E9"/>
    <w:rsid w:val="00332009"/>
    <w:rsid w:val="00335F24"/>
    <w:rsid w:val="00336C14"/>
    <w:rsid w:val="003407B7"/>
    <w:rsid w:val="00342F14"/>
    <w:rsid w:val="003509C7"/>
    <w:rsid w:val="0035443F"/>
    <w:rsid w:val="00372461"/>
    <w:rsid w:val="00375D5C"/>
    <w:rsid w:val="00394258"/>
    <w:rsid w:val="003A42E8"/>
    <w:rsid w:val="003A7043"/>
    <w:rsid w:val="003C6AF9"/>
    <w:rsid w:val="003C7462"/>
    <w:rsid w:val="003D0023"/>
    <w:rsid w:val="003D6131"/>
    <w:rsid w:val="003E0320"/>
    <w:rsid w:val="004008A9"/>
    <w:rsid w:val="00401949"/>
    <w:rsid w:val="00401FFE"/>
    <w:rsid w:val="00426F04"/>
    <w:rsid w:val="00443EB9"/>
    <w:rsid w:val="00445F99"/>
    <w:rsid w:val="0046222B"/>
    <w:rsid w:val="00465847"/>
    <w:rsid w:val="00471420"/>
    <w:rsid w:val="0048228D"/>
    <w:rsid w:val="004829CC"/>
    <w:rsid w:val="00487DDD"/>
    <w:rsid w:val="00492BBF"/>
    <w:rsid w:val="00496491"/>
    <w:rsid w:val="004B556F"/>
    <w:rsid w:val="004B5BF1"/>
    <w:rsid w:val="004C12B0"/>
    <w:rsid w:val="004C17F6"/>
    <w:rsid w:val="004D23CE"/>
    <w:rsid w:val="004F1CEA"/>
    <w:rsid w:val="004F386F"/>
    <w:rsid w:val="00525103"/>
    <w:rsid w:val="00533F32"/>
    <w:rsid w:val="005446A7"/>
    <w:rsid w:val="005469D8"/>
    <w:rsid w:val="00553805"/>
    <w:rsid w:val="005828B9"/>
    <w:rsid w:val="005852AB"/>
    <w:rsid w:val="00586F57"/>
    <w:rsid w:val="00591638"/>
    <w:rsid w:val="00596C7D"/>
    <w:rsid w:val="005A2DD9"/>
    <w:rsid w:val="005C2CD7"/>
    <w:rsid w:val="005D359D"/>
    <w:rsid w:val="005D61EB"/>
    <w:rsid w:val="00604E17"/>
    <w:rsid w:val="00623A60"/>
    <w:rsid w:val="00640BCB"/>
    <w:rsid w:val="00641D89"/>
    <w:rsid w:val="00646CAE"/>
    <w:rsid w:val="00650377"/>
    <w:rsid w:val="006515E5"/>
    <w:rsid w:val="00651AF8"/>
    <w:rsid w:val="00654976"/>
    <w:rsid w:val="006642D2"/>
    <w:rsid w:val="006678EC"/>
    <w:rsid w:val="00671D58"/>
    <w:rsid w:val="00691D0C"/>
    <w:rsid w:val="006921AF"/>
    <w:rsid w:val="00697DBE"/>
    <w:rsid w:val="006A1A9C"/>
    <w:rsid w:val="006A35A2"/>
    <w:rsid w:val="006A7245"/>
    <w:rsid w:val="006E2645"/>
    <w:rsid w:val="006F3D7F"/>
    <w:rsid w:val="00713592"/>
    <w:rsid w:val="0073261D"/>
    <w:rsid w:val="00737548"/>
    <w:rsid w:val="00750509"/>
    <w:rsid w:val="0075481E"/>
    <w:rsid w:val="007565D9"/>
    <w:rsid w:val="00776E0A"/>
    <w:rsid w:val="00781B43"/>
    <w:rsid w:val="007977AE"/>
    <w:rsid w:val="007A5880"/>
    <w:rsid w:val="007C3A50"/>
    <w:rsid w:val="007E0A2E"/>
    <w:rsid w:val="007E1BAD"/>
    <w:rsid w:val="007E3898"/>
    <w:rsid w:val="007E5FEE"/>
    <w:rsid w:val="007F75B8"/>
    <w:rsid w:val="00800230"/>
    <w:rsid w:val="008153F3"/>
    <w:rsid w:val="008155C4"/>
    <w:rsid w:val="0082645A"/>
    <w:rsid w:val="00831F23"/>
    <w:rsid w:val="0084074C"/>
    <w:rsid w:val="00845D70"/>
    <w:rsid w:val="008536D8"/>
    <w:rsid w:val="008549B1"/>
    <w:rsid w:val="0085660B"/>
    <w:rsid w:val="00863530"/>
    <w:rsid w:val="00863BFB"/>
    <w:rsid w:val="00866488"/>
    <w:rsid w:val="008834F5"/>
    <w:rsid w:val="008921CC"/>
    <w:rsid w:val="008A0B9F"/>
    <w:rsid w:val="008A1D35"/>
    <w:rsid w:val="008C2D82"/>
    <w:rsid w:val="008E7A4D"/>
    <w:rsid w:val="008F7085"/>
    <w:rsid w:val="00900AB3"/>
    <w:rsid w:val="009079BF"/>
    <w:rsid w:val="00914B28"/>
    <w:rsid w:val="00921A4B"/>
    <w:rsid w:val="009344C6"/>
    <w:rsid w:val="009523CC"/>
    <w:rsid w:val="009604F7"/>
    <w:rsid w:val="009673DA"/>
    <w:rsid w:val="009677F2"/>
    <w:rsid w:val="00971C32"/>
    <w:rsid w:val="00977823"/>
    <w:rsid w:val="0098157B"/>
    <w:rsid w:val="009908E5"/>
    <w:rsid w:val="009911A8"/>
    <w:rsid w:val="009913F9"/>
    <w:rsid w:val="00997644"/>
    <w:rsid w:val="009A26A4"/>
    <w:rsid w:val="009A6858"/>
    <w:rsid w:val="009A6FD6"/>
    <w:rsid w:val="009C5558"/>
    <w:rsid w:val="009C5EB2"/>
    <w:rsid w:val="009D69F7"/>
    <w:rsid w:val="009E4CE2"/>
    <w:rsid w:val="009E7CDD"/>
    <w:rsid w:val="009F10E7"/>
    <w:rsid w:val="00A161D9"/>
    <w:rsid w:val="00A2013A"/>
    <w:rsid w:val="00A21D0C"/>
    <w:rsid w:val="00A22E1B"/>
    <w:rsid w:val="00A275D3"/>
    <w:rsid w:val="00A32EA4"/>
    <w:rsid w:val="00A33F9A"/>
    <w:rsid w:val="00A35A0D"/>
    <w:rsid w:val="00A40712"/>
    <w:rsid w:val="00A408B6"/>
    <w:rsid w:val="00A41928"/>
    <w:rsid w:val="00A614EA"/>
    <w:rsid w:val="00A67A29"/>
    <w:rsid w:val="00A74B8E"/>
    <w:rsid w:val="00A83674"/>
    <w:rsid w:val="00A90633"/>
    <w:rsid w:val="00A942AD"/>
    <w:rsid w:val="00AC388D"/>
    <w:rsid w:val="00AD5DA8"/>
    <w:rsid w:val="00AF22A7"/>
    <w:rsid w:val="00AF5940"/>
    <w:rsid w:val="00B03461"/>
    <w:rsid w:val="00B04019"/>
    <w:rsid w:val="00B14B8F"/>
    <w:rsid w:val="00B1658D"/>
    <w:rsid w:val="00B33F35"/>
    <w:rsid w:val="00B40A74"/>
    <w:rsid w:val="00B47130"/>
    <w:rsid w:val="00B55726"/>
    <w:rsid w:val="00B57960"/>
    <w:rsid w:val="00B60885"/>
    <w:rsid w:val="00B74176"/>
    <w:rsid w:val="00B907AB"/>
    <w:rsid w:val="00B937BD"/>
    <w:rsid w:val="00BA0EB6"/>
    <w:rsid w:val="00BA1A5E"/>
    <w:rsid w:val="00BB6B3C"/>
    <w:rsid w:val="00BC0BEC"/>
    <w:rsid w:val="00BC36E1"/>
    <w:rsid w:val="00BC7C03"/>
    <w:rsid w:val="00BE3308"/>
    <w:rsid w:val="00BF6A00"/>
    <w:rsid w:val="00BF70C4"/>
    <w:rsid w:val="00C00687"/>
    <w:rsid w:val="00C24960"/>
    <w:rsid w:val="00C2745C"/>
    <w:rsid w:val="00C27EB3"/>
    <w:rsid w:val="00C364BA"/>
    <w:rsid w:val="00C43509"/>
    <w:rsid w:val="00C54E18"/>
    <w:rsid w:val="00C646A7"/>
    <w:rsid w:val="00C66842"/>
    <w:rsid w:val="00C7287D"/>
    <w:rsid w:val="00C75275"/>
    <w:rsid w:val="00C754CC"/>
    <w:rsid w:val="00C80C07"/>
    <w:rsid w:val="00C8704B"/>
    <w:rsid w:val="00C92081"/>
    <w:rsid w:val="00CB4826"/>
    <w:rsid w:val="00CB6354"/>
    <w:rsid w:val="00CB6BF6"/>
    <w:rsid w:val="00CC70F2"/>
    <w:rsid w:val="00CD03DA"/>
    <w:rsid w:val="00CD1516"/>
    <w:rsid w:val="00CD4991"/>
    <w:rsid w:val="00CE3A18"/>
    <w:rsid w:val="00CE7CA9"/>
    <w:rsid w:val="00CF2268"/>
    <w:rsid w:val="00D037F5"/>
    <w:rsid w:val="00D10745"/>
    <w:rsid w:val="00D126E1"/>
    <w:rsid w:val="00D16266"/>
    <w:rsid w:val="00D21E9F"/>
    <w:rsid w:val="00D24B41"/>
    <w:rsid w:val="00D24C33"/>
    <w:rsid w:val="00D46E2A"/>
    <w:rsid w:val="00D54EAB"/>
    <w:rsid w:val="00D564FC"/>
    <w:rsid w:val="00D60AB5"/>
    <w:rsid w:val="00D62457"/>
    <w:rsid w:val="00D637A7"/>
    <w:rsid w:val="00D7054E"/>
    <w:rsid w:val="00D721BE"/>
    <w:rsid w:val="00D736A3"/>
    <w:rsid w:val="00D76963"/>
    <w:rsid w:val="00D864D9"/>
    <w:rsid w:val="00D91A7D"/>
    <w:rsid w:val="00D92F81"/>
    <w:rsid w:val="00DA7564"/>
    <w:rsid w:val="00DB6C5A"/>
    <w:rsid w:val="00DD14CC"/>
    <w:rsid w:val="00DD2AC2"/>
    <w:rsid w:val="00DE14A2"/>
    <w:rsid w:val="00DF1573"/>
    <w:rsid w:val="00DF7C52"/>
    <w:rsid w:val="00E009DB"/>
    <w:rsid w:val="00E07453"/>
    <w:rsid w:val="00E27BC6"/>
    <w:rsid w:val="00E349D8"/>
    <w:rsid w:val="00E400C2"/>
    <w:rsid w:val="00E449FB"/>
    <w:rsid w:val="00E47F2C"/>
    <w:rsid w:val="00E62E93"/>
    <w:rsid w:val="00E744E4"/>
    <w:rsid w:val="00E767D3"/>
    <w:rsid w:val="00EB2819"/>
    <w:rsid w:val="00EB4B51"/>
    <w:rsid w:val="00EB662F"/>
    <w:rsid w:val="00ED3F4B"/>
    <w:rsid w:val="00EF0B91"/>
    <w:rsid w:val="00EF1153"/>
    <w:rsid w:val="00EF6C6B"/>
    <w:rsid w:val="00F036E1"/>
    <w:rsid w:val="00F108F3"/>
    <w:rsid w:val="00F21E60"/>
    <w:rsid w:val="00F36786"/>
    <w:rsid w:val="00F417B8"/>
    <w:rsid w:val="00F44284"/>
    <w:rsid w:val="00F47CBD"/>
    <w:rsid w:val="00F6014B"/>
    <w:rsid w:val="00F743C6"/>
    <w:rsid w:val="00F80EAC"/>
    <w:rsid w:val="00F95C16"/>
    <w:rsid w:val="00FA2DD8"/>
    <w:rsid w:val="00FA7AB5"/>
    <w:rsid w:val="00FD241B"/>
    <w:rsid w:val="00FE4610"/>
    <w:rsid w:val="00FF2A39"/>
    <w:rsid w:val="00FF3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Courier New" w:hAnsi="Courier New"/>
      <w:sz w:val="24"/>
    </w:rPr>
  </w:style>
  <w:style w:type="paragraph" w:styleId="Titolo2">
    <w:name w:val="heading 2"/>
    <w:basedOn w:val="Normale"/>
    <w:next w:val="Normale"/>
    <w:qFormat/>
    <w:pPr>
      <w:keepNext/>
      <w:jc w:val="both"/>
      <w:outlineLvl w:val="1"/>
    </w:pPr>
    <w:rPr>
      <w:rFonts w:ascii="Courier New" w:hAnsi="Courier New"/>
      <w:b/>
      <w:sz w:val="24"/>
    </w:rPr>
  </w:style>
  <w:style w:type="paragraph" w:styleId="Titolo3">
    <w:name w:val="heading 3"/>
    <w:basedOn w:val="Normale"/>
    <w:next w:val="Normale"/>
    <w:qFormat/>
    <w:pPr>
      <w:keepNext/>
      <w:ind w:left="426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widowControl w:val="0"/>
      <w:outlineLvl w:val="5"/>
    </w:pPr>
    <w:rPr>
      <w:rFonts w:ascii="CenturyGothic-Bold*1~913" w:hAnsi="CenturyGothic-Bold*1~913"/>
      <w:b/>
      <w:color w:val="000000"/>
      <w:sz w:val="22"/>
    </w:rPr>
  </w:style>
  <w:style w:type="paragraph" w:styleId="Titolo8">
    <w:name w:val="heading 8"/>
    <w:basedOn w:val="Normale"/>
    <w:next w:val="Normale"/>
    <w:qFormat/>
    <w:pPr>
      <w:keepNext/>
      <w:widowControl w:val="0"/>
      <w:jc w:val="both"/>
      <w:outlineLvl w:val="7"/>
    </w:pPr>
    <w:rPr>
      <w:rFonts w:ascii="CenturyGothic-Bold*1~419" w:hAnsi="CenturyGothic-Bold*1~419"/>
      <w:b/>
      <w:color w:val="000000"/>
      <w:sz w:val="22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Corpodeltesto">
    <w:name w:val="Body Text"/>
    <w:basedOn w:val="Normale"/>
    <w:pPr>
      <w:pBdr>
        <w:left w:val="double" w:sz="4" w:space="4" w:color="auto"/>
        <w:right w:val="double" w:sz="4" w:space="4" w:color="auto"/>
      </w:pBdr>
      <w:jc w:val="both"/>
    </w:pPr>
    <w:rPr>
      <w:rFonts w:ascii="Courier New" w:hAnsi="Courier New"/>
      <w:sz w:val="24"/>
    </w:rPr>
  </w:style>
  <w:style w:type="paragraph" w:styleId="Rientrocorpodeltesto">
    <w:name w:val="Body Text Indent"/>
    <w:basedOn w:val="Normale"/>
    <w:pPr>
      <w:tabs>
        <w:tab w:val="num" w:pos="284"/>
      </w:tabs>
      <w:ind w:left="284" w:hanging="284"/>
      <w:jc w:val="both"/>
    </w:pPr>
    <w:rPr>
      <w:rFonts w:ascii="Arial" w:hAnsi="Arial"/>
      <w:sz w:val="24"/>
    </w:rPr>
  </w:style>
  <w:style w:type="paragraph" w:styleId="Corpodeltesto2">
    <w:name w:val="Body Text 2"/>
    <w:basedOn w:val="Normale"/>
    <w:pPr>
      <w:widowControl w:val="0"/>
    </w:pPr>
    <w:rPr>
      <w:rFonts w:ascii="Courier New" w:hAnsi="Courier New"/>
      <w:snapToGrid w:val="0"/>
      <w:sz w:val="24"/>
    </w:rPr>
  </w:style>
  <w:style w:type="paragraph" w:styleId="Corpodeltesto3">
    <w:name w:val="Body Text 3"/>
    <w:basedOn w:val="Normale"/>
    <w:pPr>
      <w:jc w:val="both"/>
    </w:pPr>
    <w:rPr>
      <w:sz w:val="24"/>
    </w:rPr>
  </w:style>
  <w:style w:type="paragraph" w:styleId="Rientrocorpodeltesto2">
    <w:name w:val="Body Text Indent 2"/>
    <w:basedOn w:val="Normale"/>
    <w:pPr>
      <w:tabs>
        <w:tab w:val="num" w:pos="360"/>
      </w:tabs>
      <w:ind w:left="142" w:hanging="142"/>
      <w:jc w:val="both"/>
    </w:pPr>
    <w:rPr>
      <w:rFonts w:ascii="Arial" w:hAnsi="Arial"/>
      <w:sz w:val="24"/>
    </w:rPr>
  </w:style>
  <w:style w:type="paragraph" w:customStyle="1" w:styleId="xl29">
    <w:name w:val="xl29"/>
    <w:basedOn w:val="Normale"/>
    <w:pPr>
      <w:pBdr>
        <w:bottom w:val="single" w:sz="4" w:space="0" w:color="auto"/>
      </w:pBdr>
      <w:spacing w:before="100" w:after="100"/>
    </w:pPr>
    <w:rPr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Enfasigrassetto">
    <w:name w:val="Strong"/>
    <w:uiPriority w:val="22"/>
    <w:qFormat/>
    <w:rsid w:val="00B471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933</Words>
  <Characters>5320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COM. DI FERRARA</Company>
  <LinksUpToDate>false</LinksUpToDate>
  <CharactersWithSpaces>6241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creator>.</dc:creator>
  <cp:lastModifiedBy>p.marzola</cp:lastModifiedBy>
  <cp:revision>2</cp:revision>
  <cp:lastPrinted>2021-03-01T10:04:00Z</cp:lastPrinted>
  <dcterms:created xsi:type="dcterms:W3CDTF">2021-03-03T11:03:00Z</dcterms:created>
  <dcterms:modified xsi:type="dcterms:W3CDTF">2021-03-03T11:03:00Z</dcterms:modified>
</cp:coreProperties>
</file>