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5EB" w:rsidRDefault="000655EB" w:rsidP="007E1CFC">
      <w:pPr>
        <w:spacing w:before="96"/>
        <w:ind w:left="824"/>
        <w:rPr>
          <w:rFonts w:ascii="Arial" w:hAnsi="Arial" w:cs="Arial"/>
          <w:b/>
          <w:sz w:val="24"/>
        </w:rPr>
      </w:pPr>
      <w:r>
        <w:rPr>
          <w:rFonts w:ascii="Arial" w:hAnsi="Arial" w:cs="Arial"/>
          <w:b/>
          <w:sz w:val="24"/>
        </w:rPr>
        <w:t>I cc/45213/2021</w:t>
      </w:r>
    </w:p>
    <w:p w:rsidR="000655EB" w:rsidRDefault="000655EB" w:rsidP="007E1CFC">
      <w:pPr>
        <w:spacing w:before="96"/>
        <w:ind w:left="824"/>
        <w:rPr>
          <w:rFonts w:ascii="Arial" w:hAnsi="Arial" w:cs="Arial"/>
          <w:b/>
          <w:sz w:val="24"/>
        </w:rPr>
      </w:pPr>
    </w:p>
    <w:p w:rsidR="00D55821" w:rsidRDefault="003A4E2E" w:rsidP="007E1CFC">
      <w:pPr>
        <w:spacing w:before="96"/>
        <w:ind w:left="824"/>
        <w:rPr>
          <w:rFonts w:ascii="Arial" w:hAnsi="Arial" w:cs="Arial"/>
          <w:b/>
          <w:sz w:val="24"/>
        </w:rPr>
      </w:pPr>
      <w:r>
        <w:rPr>
          <w:rFonts w:ascii="Arial" w:hAnsi="Arial" w:cs="Arial"/>
          <w:b/>
          <w:sz w:val="24"/>
        </w:rPr>
        <w:t>ISTRUTTORIA CONSILIARE DEL ____________________</w:t>
      </w:r>
    </w:p>
    <w:p w:rsidR="003A4E2E" w:rsidRDefault="003A4E2E" w:rsidP="007E1CFC">
      <w:pPr>
        <w:spacing w:before="96"/>
        <w:ind w:left="824"/>
        <w:rPr>
          <w:rFonts w:ascii="Arial" w:hAnsi="Arial" w:cs="Arial"/>
          <w:b/>
          <w:sz w:val="24"/>
        </w:rPr>
      </w:pPr>
    </w:p>
    <w:p w:rsidR="003A4E2E" w:rsidRPr="003A4E2E" w:rsidRDefault="003A4E2E" w:rsidP="007E1CFC">
      <w:pPr>
        <w:spacing w:before="96"/>
        <w:ind w:left="824"/>
        <w:rPr>
          <w:rFonts w:ascii="Arial" w:hAnsi="Arial" w:cs="Arial"/>
          <w:b/>
          <w:sz w:val="24"/>
        </w:rPr>
      </w:pPr>
    </w:p>
    <w:p w:rsidR="00D55821" w:rsidRDefault="00D55821" w:rsidP="007E1CFC">
      <w:pPr>
        <w:spacing w:before="96"/>
        <w:ind w:left="824"/>
        <w:rPr>
          <w:rFonts w:ascii="Arial" w:hAnsi="Arial" w:cs="Arial"/>
          <w:b/>
          <w:sz w:val="24"/>
        </w:rPr>
      </w:pPr>
      <w:r w:rsidRPr="003A4E2E">
        <w:rPr>
          <w:rFonts w:ascii="Arial" w:hAnsi="Arial" w:cs="Arial"/>
          <w:b/>
          <w:sz w:val="24"/>
        </w:rPr>
        <w:t>DIFFERIMENTO  SCADENZE IMPOSTA DI SOGGIORNO  DEL SECONDO E TERZO TRIMESTRE 2021 AL 15  NOVEMBRE 2021.</w:t>
      </w:r>
    </w:p>
    <w:p w:rsidR="003A4E2E" w:rsidRDefault="003A4E2E" w:rsidP="007E1CFC">
      <w:pPr>
        <w:spacing w:before="96"/>
        <w:ind w:left="824"/>
        <w:rPr>
          <w:rFonts w:ascii="Arial" w:hAnsi="Arial" w:cs="Arial"/>
          <w:b/>
          <w:sz w:val="24"/>
        </w:rPr>
      </w:pPr>
    </w:p>
    <w:p w:rsidR="003A4E2E" w:rsidRDefault="003A4E2E" w:rsidP="007E1CFC">
      <w:pPr>
        <w:spacing w:before="96"/>
        <w:ind w:left="824"/>
        <w:rPr>
          <w:rFonts w:ascii="Arial" w:hAnsi="Arial" w:cs="Arial"/>
          <w:b/>
          <w:sz w:val="24"/>
        </w:rPr>
      </w:pPr>
    </w:p>
    <w:p w:rsidR="003A4E2E" w:rsidRDefault="003A4E2E" w:rsidP="003A4E2E">
      <w:pPr>
        <w:spacing w:before="96"/>
        <w:ind w:left="824"/>
        <w:jc w:val="center"/>
        <w:rPr>
          <w:rFonts w:ascii="Arial" w:hAnsi="Arial" w:cs="Arial"/>
          <w:b/>
          <w:sz w:val="24"/>
        </w:rPr>
      </w:pPr>
      <w:r>
        <w:rPr>
          <w:rFonts w:ascii="Arial" w:hAnsi="Arial" w:cs="Arial"/>
          <w:b/>
          <w:sz w:val="24"/>
        </w:rPr>
        <w:t>IL CONSIGLIO COMUNALE</w:t>
      </w:r>
    </w:p>
    <w:p w:rsidR="003A4E2E" w:rsidRDefault="003A4E2E" w:rsidP="003A4E2E">
      <w:pPr>
        <w:spacing w:before="96"/>
        <w:ind w:left="824"/>
        <w:jc w:val="center"/>
        <w:rPr>
          <w:rFonts w:ascii="Arial" w:hAnsi="Arial" w:cs="Arial"/>
          <w:b/>
          <w:sz w:val="24"/>
        </w:rPr>
      </w:pPr>
    </w:p>
    <w:p w:rsidR="003A4E2E" w:rsidRPr="003A4E2E" w:rsidRDefault="003A4E2E" w:rsidP="003A4E2E">
      <w:pPr>
        <w:spacing w:before="96"/>
        <w:ind w:left="824"/>
        <w:jc w:val="center"/>
        <w:rPr>
          <w:rFonts w:ascii="Arial" w:hAnsi="Arial" w:cs="Arial"/>
          <w:b/>
          <w:sz w:val="24"/>
        </w:rPr>
      </w:pPr>
    </w:p>
    <w:p w:rsidR="00D55821" w:rsidRPr="003A4E2E" w:rsidRDefault="00D55821" w:rsidP="007E1CFC">
      <w:pPr>
        <w:spacing w:before="96"/>
        <w:ind w:left="824"/>
        <w:rPr>
          <w:rFonts w:ascii="Arial" w:hAnsi="Arial" w:cs="Arial"/>
          <w:sz w:val="24"/>
        </w:rPr>
      </w:pPr>
      <w:r w:rsidRPr="003A4E2E">
        <w:rPr>
          <w:rFonts w:ascii="Arial" w:hAnsi="Arial" w:cs="Arial"/>
          <w:b/>
          <w:sz w:val="24"/>
        </w:rPr>
        <w:t>Premesso che</w:t>
      </w:r>
      <w:r w:rsidRPr="003A4E2E">
        <w:rPr>
          <w:rFonts w:ascii="Arial" w:hAnsi="Arial" w:cs="Arial"/>
          <w:sz w:val="24"/>
        </w:rPr>
        <w:t>:</w:t>
      </w:r>
    </w:p>
    <w:p w:rsidR="00D55821" w:rsidRPr="003A4E2E" w:rsidRDefault="00D55821" w:rsidP="007E1CFC">
      <w:pPr>
        <w:pStyle w:val="Corpodeltesto"/>
        <w:spacing w:before="3"/>
        <w:rPr>
          <w:rFonts w:ascii="Arial" w:hAnsi="Arial" w:cs="Arial"/>
          <w:sz w:val="12"/>
        </w:rPr>
      </w:pPr>
    </w:p>
    <w:p w:rsidR="00D55821" w:rsidRPr="003A4E2E" w:rsidRDefault="003A4E2E" w:rsidP="003A4E2E">
      <w:pPr>
        <w:tabs>
          <w:tab w:val="left" w:pos="1000"/>
        </w:tabs>
        <w:spacing w:before="58"/>
        <w:ind w:left="824" w:right="684"/>
        <w:jc w:val="both"/>
        <w:rPr>
          <w:rFonts w:ascii="Arial" w:hAnsi="Arial" w:cs="Arial"/>
          <w:sz w:val="24"/>
        </w:rPr>
      </w:pPr>
      <w:r>
        <w:rPr>
          <w:rFonts w:ascii="Arial" w:hAnsi="Arial" w:cs="Arial"/>
          <w:sz w:val="24"/>
        </w:rPr>
        <w:t xml:space="preserve">- </w:t>
      </w:r>
      <w:r w:rsidR="00D55821" w:rsidRPr="003A4E2E">
        <w:rPr>
          <w:rFonts w:ascii="Arial" w:hAnsi="Arial" w:cs="Arial"/>
          <w:sz w:val="24"/>
        </w:rPr>
        <w:t>continua l’emergenza causata dall’infezione da Coronavirus COVID-19, dichiarata dal Consiglio dei Ministri con proprio atto del 31 gennaio</w:t>
      </w:r>
      <w:r w:rsidR="00D55821" w:rsidRPr="003A4E2E">
        <w:rPr>
          <w:rFonts w:ascii="Arial" w:hAnsi="Arial" w:cs="Arial"/>
          <w:spacing w:val="-1"/>
          <w:sz w:val="24"/>
        </w:rPr>
        <w:t xml:space="preserve"> </w:t>
      </w:r>
      <w:r w:rsidR="00D55821" w:rsidRPr="003A4E2E">
        <w:rPr>
          <w:rFonts w:ascii="Arial" w:hAnsi="Arial" w:cs="Arial"/>
          <w:sz w:val="24"/>
        </w:rPr>
        <w:t>2020 attualmente  prorogata al 30  aprile 2021;</w:t>
      </w:r>
    </w:p>
    <w:p w:rsidR="00D55821" w:rsidRPr="003A4E2E" w:rsidRDefault="003A4E2E" w:rsidP="003A4E2E">
      <w:pPr>
        <w:tabs>
          <w:tab w:val="left" w:pos="981"/>
        </w:tabs>
        <w:spacing w:before="204" w:line="237" w:lineRule="auto"/>
        <w:ind w:left="824" w:right="685"/>
        <w:jc w:val="both"/>
        <w:rPr>
          <w:rFonts w:ascii="Arial" w:hAnsi="Arial" w:cs="Arial"/>
          <w:sz w:val="24"/>
        </w:rPr>
      </w:pPr>
      <w:r>
        <w:rPr>
          <w:rFonts w:ascii="Arial" w:hAnsi="Arial" w:cs="Arial"/>
          <w:sz w:val="24"/>
        </w:rPr>
        <w:t xml:space="preserve">- </w:t>
      </w:r>
      <w:r w:rsidR="00D55821" w:rsidRPr="003A4E2E">
        <w:rPr>
          <w:rFonts w:ascii="Arial" w:hAnsi="Arial" w:cs="Arial"/>
          <w:sz w:val="24"/>
        </w:rPr>
        <w:t>numerose e stringenti misure sono state adottate dal Governo per prevenire e limitare la diffusione del</w:t>
      </w:r>
      <w:r w:rsidR="00D55821" w:rsidRPr="003A4E2E">
        <w:rPr>
          <w:rFonts w:ascii="Arial" w:hAnsi="Arial" w:cs="Arial"/>
          <w:spacing w:val="-2"/>
          <w:sz w:val="24"/>
        </w:rPr>
        <w:t xml:space="preserve"> </w:t>
      </w:r>
      <w:r w:rsidR="00D55821" w:rsidRPr="003A4E2E">
        <w:rPr>
          <w:rFonts w:ascii="Arial" w:hAnsi="Arial" w:cs="Arial"/>
          <w:sz w:val="24"/>
        </w:rPr>
        <w:t>contagio;</w:t>
      </w:r>
    </w:p>
    <w:p w:rsidR="00D55821" w:rsidRPr="003A4E2E" w:rsidRDefault="003A4E2E" w:rsidP="003A4E2E">
      <w:pPr>
        <w:tabs>
          <w:tab w:val="left" w:pos="988"/>
        </w:tabs>
        <w:spacing w:before="82"/>
        <w:ind w:left="824" w:right="686"/>
        <w:jc w:val="both"/>
        <w:rPr>
          <w:rFonts w:ascii="Arial" w:hAnsi="Arial" w:cs="Arial"/>
          <w:sz w:val="24"/>
        </w:rPr>
      </w:pPr>
      <w:r>
        <w:rPr>
          <w:rFonts w:ascii="Arial" w:hAnsi="Arial" w:cs="Arial"/>
          <w:sz w:val="24"/>
        </w:rPr>
        <w:t xml:space="preserve">- </w:t>
      </w:r>
      <w:r w:rsidR="00D55821" w:rsidRPr="003A4E2E">
        <w:rPr>
          <w:rFonts w:ascii="Arial" w:hAnsi="Arial" w:cs="Arial"/>
          <w:sz w:val="24"/>
        </w:rPr>
        <w:t xml:space="preserve">con il Decreto Legge 17 marzo 2020, n. 18, tenuto conto delle modifiche apportate   dal recente Decreto Rilancio n. 34 del 19 maggio 2020, sono state assunte diverse misure  volte a contenere gli effetti negativi che l’emergenza epidemiologica COVID-19 sta producendo sul tessuto economico-sociale tra cui la sospensione degli obblighi di versamento per tributi e contributi e di altri adempimenti fiscali, in particolare il  comma 1^ e 2^ dell’art. </w:t>
      </w:r>
      <w:smartTag w:uri="urn:schemas-microsoft-com:office:smarttags" w:element="metricconverter">
        <w:smartTagPr>
          <w:attr w:name="ProductID" w:val="68 ha"/>
        </w:smartTagPr>
        <w:r w:rsidR="00D55821" w:rsidRPr="003A4E2E">
          <w:rPr>
            <w:rFonts w:ascii="Arial" w:hAnsi="Arial" w:cs="Arial"/>
            <w:sz w:val="24"/>
          </w:rPr>
          <w:t>68 ha</w:t>
        </w:r>
      </w:smartTag>
      <w:r w:rsidR="00D55821" w:rsidRPr="003A4E2E">
        <w:rPr>
          <w:rFonts w:ascii="Arial" w:hAnsi="Arial" w:cs="Arial"/>
          <w:sz w:val="24"/>
        </w:rPr>
        <w:t xml:space="preserve"> sospeso i termini per i versamenti, scadenti nel periodo dall’8 marzo al 30 aprile 2021 relativi ad entrate tributarie e non tributarie, derivanti  dalle ingiunzioni di pagamento e dagli atti di accertamento esecutivo di cui all'art.1, comma 792 della legge di bilancio 2020, emessi dagli enti territoriali;</w:t>
      </w:r>
    </w:p>
    <w:p w:rsidR="003A4E2E" w:rsidRDefault="003A4E2E" w:rsidP="007E1CFC">
      <w:pPr>
        <w:tabs>
          <w:tab w:val="left" w:pos="1104"/>
        </w:tabs>
        <w:spacing w:before="79"/>
        <w:ind w:left="824" w:right="684"/>
        <w:jc w:val="both"/>
        <w:rPr>
          <w:rFonts w:ascii="Arial" w:hAnsi="Arial" w:cs="Arial"/>
          <w:b/>
        </w:rPr>
      </w:pPr>
    </w:p>
    <w:p w:rsidR="00D55821" w:rsidRPr="003A4E2E" w:rsidRDefault="00D55821" w:rsidP="007E1CFC">
      <w:pPr>
        <w:tabs>
          <w:tab w:val="left" w:pos="1104"/>
        </w:tabs>
        <w:spacing w:before="79"/>
        <w:ind w:left="824" w:right="684"/>
        <w:jc w:val="both"/>
        <w:rPr>
          <w:rFonts w:ascii="Arial" w:hAnsi="Arial" w:cs="Arial"/>
        </w:rPr>
      </w:pPr>
      <w:r w:rsidRPr="003A4E2E">
        <w:rPr>
          <w:rFonts w:ascii="Arial" w:hAnsi="Arial" w:cs="Arial"/>
          <w:b/>
        </w:rPr>
        <w:t xml:space="preserve">Constatata </w:t>
      </w:r>
      <w:r w:rsidRPr="003A4E2E">
        <w:rPr>
          <w:rFonts w:ascii="Arial" w:hAnsi="Arial" w:cs="Arial"/>
        </w:rPr>
        <w:t>la forte crisi che tale situazione ha creato e stà continuando a  creare all’economia del  paese, ed in particolare alle imprese del settore turistico;</w:t>
      </w:r>
    </w:p>
    <w:p w:rsidR="003A4E2E" w:rsidRDefault="003A4E2E" w:rsidP="007E1CFC">
      <w:pPr>
        <w:tabs>
          <w:tab w:val="left" w:pos="1104"/>
        </w:tabs>
        <w:spacing w:before="79"/>
        <w:ind w:left="824" w:right="684"/>
        <w:jc w:val="both"/>
        <w:rPr>
          <w:rFonts w:ascii="Arial" w:hAnsi="Arial" w:cs="Arial"/>
          <w:b/>
        </w:rPr>
      </w:pPr>
    </w:p>
    <w:p w:rsidR="00D55821" w:rsidRDefault="00D55821" w:rsidP="007E1CFC">
      <w:pPr>
        <w:tabs>
          <w:tab w:val="left" w:pos="1104"/>
        </w:tabs>
        <w:spacing w:before="79"/>
        <w:ind w:left="824" w:right="684"/>
        <w:jc w:val="both"/>
        <w:rPr>
          <w:rFonts w:ascii="Arial" w:hAnsi="Arial" w:cs="Arial"/>
        </w:rPr>
      </w:pPr>
      <w:r w:rsidRPr="003A4E2E">
        <w:rPr>
          <w:rFonts w:ascii="Arial" w:hAnsi="Arial" w:cs="Arial"/>
          <w:b/>
        </w:rPr>
        <w:t xml:space="preserve">Atteso che </w:t>
      </w:r>
      <w:r w:rsidRPr="003A4E2E">
        <w:rPr>
          <w:rFonts w:ascii="Arial" w:hAnsi="Arial" w:cs="Arial"/>
        </w:rPr>
        <w:t>la potestà regolamentare in materia di entrate prevista dall’art. 52 del D.</w:t>
      </w:r>
      <w:r w:rsidR="003A4E2E">
        <w:rPr>
          <w:rFonts w:ascii="Arial" w:hAnsi="Arial" w:cs="Arial"/>
        </w:rPr>
        <w:t xml:space="preserve"> L</w:t>
      </w:r>
      <w:r w:rsidRPr="003A4E2E">
        <w:rPr>
          <w:rFonts w:ascii="Arial" w:hAnsi="Arial" w:cs="Arial"/>
        </w:rPr>
        <w:t>gs</w:t>
      </w:r>
      <w:r w:rsidR="003A4E2E">
        <w:rPr>
          <w:rFonts w:ascii="Arial" w:hAnsi="Arial" w:cs="Arial"/>
        </w:rPr>
        <w:t>.</w:t>
      </w:r>
      <w:r w:rsidRPr="003A4E2E">
        <w:rPr>
          <w:rFonts w:ascii="Arial" w:hAnsi="Arial" w:cs="Arial"/>
        </w:rPr>
        <w:t xml:space="preserve"> 446/1997, sulla base anche delle disposizioni di cui all’art. 23 del vigente regolamento generale delle entrate tributarie consente, in relazione a situazioni ed eventi eccezionali e straordinari , di differire eventuali scadenze tributarie o sospenderle per un determinato periodo</w:t>
      </w:r>
      <w:r w:rsidRPr="003A4E2E">
        <w:rPr>
          <w:rFonts w:ascii="Arial" w:hAnsi="Arial" w:cs="Arial"/>
          <w:spacing w:val="59"/>
        </w:rPr>
        <w:t xml:space="preserve"> </w:t>
      </w:r>
      <w:r w:rsidRPr="003A4E2E">
        <w:rPr>
          <w:rFonts w:ascii="Arial" w:hAnsi="Arial" w:cs="Arial"/>
        </w:rPr>
        <w:t>tempo;</w:t>
      </w:r>
    </w:p>
    <w:p w:rsidR="003A4E2E" w:rsidRPr="003A4E2E" w:rsidRDefault="003A4E2E" w:rsidP="007E1CFC">
      <w:pPr>
        <w:tabs>
          <w:tab w:val="left" w:pos="1104"/>
        </w:tabs>
        <w:spacing w:before="79"/>
        <w:ind w:left="824" w:right="684"/>
        <w:jc w:val="both"/>
        <w:rPr>
          <w:rFonts w:ascii="Arial" w:hAnsi="Arial" w:cs="Arial"/>
        </w:rPr>
      </w:pPr>
    </w:p>
    <w:p w:rsidR="00D55821" w:rsidRDefault="00D55821" w:rsidP="007E1CFC">
      <w:pPr>
        <w:pStyle w:val="Corpodeltesto"/>
        <w:spacing w:before="81"/>
        <w:ind w:left="824" w:right="682"/>
        <w:jc w:val="both"/>
        <w:rPr>
          <w:rFonts w:ascii="Arial" w:hAnsi="Arial" w:cs="Arial"/>
        </w:rPr>
      </w:pPr>
      <w:r w:rsidRPr="003A4E2E">
        <w:rPr>
          <w:rFonts w:ascii="Arial" w:hAnsi="Arial" w:cs="Arial"/>
          <w:b/>
        </w:rPr>
        <w:t xml:space="preserve">Atteso che </w:t>
      </w:r>
      <w:r w:rsidRPr="003A4E2E">
        <w:rPr>
          <w:rFonts w:ascii="Arial" w:hAnsi="Arial" w:cs="Arial"/>
        </w:rPr>
        <w:t xml:space="preserve">con propri  atti  </w:t>
      </w:r>
      <w:r w:rsidR="003A4E2E">
        <w:rPr>
          <w:rFonts w:ascii="Arial" w:hAnsi="Arial" w:cs="Arial"/>
        </w:rPr>
        <w:t xml:space="preserve">P.G. </w:t>
      </w:r>
      <w:r w:rsidRPr="003A4E2E">
        <w:rPr>
          <w:rFonts w:ascii="Arial" w:hAnsi="Arial" w:cs="Arial"/>
        </w:rPr>
        <w:t>n.  33512 del 12/</w:t>
      </w:r>
      <w:r w:rsidR="003A4E2E">
        <w:rPr>
          <w:rFonts w:ascii="Arial" w:hAnsi="Arial" w:cs="Arial"/>
        </w:rPr>
        <w:t>0</w:t>
      </w:r>
      <w:r w:rsidRPr="003A4E2E">
        <w:rPr>
          <w:rFonts w:ascii="Arial" w:hAnsi="Arial" w:cs="Arial"/>
        </w:rPr>
        <w:t>5/2020 e n</w:t>
      </w:r>
      <w:r w:rsidR="003A4E2E">
        <w:rPr>
          <w:rFonts w:ascii="Arial" w:hAnsi="Arial" w:cs="Arial"/>
        </w:rPr>
        <w:t xml:space="preserve">. </w:t>
      </w:r>
      <w:r w:rsidRPr="003A4E2E">
        <w:rPr>
          <w:rFonts w:ascii="Arial" w:hAnsi="Arial" w:cs="Arial"/>
        </w:rPr>
        <w:t>61855/2020 si è differita nel corso del 2020 la scadenza per la presentazione ed il riversamento dell’imposta  di soggiorno dei primi tre trimestri  dell’anno  al 30 novem</w:t>
      </w:r>
      <w:r w:rsidR="003A4E2E">
        <w:rPr>
          <w:rFonts w:ascii="Arial" w:hAnsi="Arial" w:cs="Arial"/>
        </w:rPr>
        <w:t>bre 2020 modificando il comma 3</w:t>
      </w:r>
      <w:r w:rsidRPr="003A4E2E">
        <w:rPr>
          <w:rFonts w:ascii="Arial" w:hAnsi="Arial" w:cs="Arial"/>
        </w:rPr>
        <w:t>bis  dell’art 7 del vigente regolamento c</w:t>
      </w:r>
      <w:r w:rsidR="003A4E2E">
        <w:rPr>
          <w:rFonts w:ascii="Arial" w:hAnsi="Arial" w:cs="Arial"/>
        </w:rPr>
        <w:t>omunale disciplinante l’imposta</w:t>
      </w:r>
      <w:r w:rsidRPr="003A4E2E">
        <w:rPr>
          <w:rFonts w:ascii="Arial" w:hAnsi="Arial" w:cs="Arial"/>
        </w:rPr>
        <w:t xml:space="preserve">;  </w:t>
      </w:r>
    </w:p>
    <w:p w:rsidR="003A4E2E" w:rsidRPr="003A4E2E" w:rsidRDefault="003A4E2E" w:rsidP="007E1CFC">
      <w:pPr>
        <w:pStyle w:val="Corpodeltesto"/>
        <w:spacing w:before="81"/>
        <w:ind w:left="824" w:right="682"/>
        <w:jc w:val="both"/>
        <w:rPr>
          <w:rFonts w:ascii="Arial" w:hAnsi="Arial" w:cs="Arial"/>
          <w:b/>
        </w:rPr>
      </w:pPr>
    </w:p>
    <w:p w:rsidR="00D55821" w:rsidRPr="003A4E2E" w:rsidRDefault="00D55821" w:rsidP="007E1CFC">
      <w:pPr>
        <w:pStyle w:val="Corpodeltesto"/>
        <w:spacing w:before="81"/>
        <w:ind w:left="824" w:right="682"/>
        <w:jc w:val="both"/>
        <w:rPr>
          <w:rFonts w:ascii="Arial" w:hAnsi="Arial" w:cs="Arial"/>
          <w:b/>
        </w:rPr>
      </w:pPr>
      <w:r w:rsidRPr="003A4E2E">
        <w:rPr>
          <w:rFonts w:ascii="Arial" w:hAnsi="Arial" w:cs="Arial"/>
          <w:b/>
        </w:rPr>
        <w:t>Considerato che:</w:t>
      </w:r>
    </w:p>
    <w:p w:rsidR="00D55821" w:rsidRPr="003A4E2E" w:rsidRDefault="00D55821" w:rsidP="007E1CFC">
      <w:pPr>
        <w:pStyle w:val="Corpodeltesto"/>
        <w:spacing w:before="81"/>
        <w:ind w:left="824" w:right="682"/>
        <w:jc w:val="both"/>
        <w:rPr>
          <w:rFonts w:ascii="Arial" w:hAnsi="Arial" w:cs="Arial"/>
        </w:rPr>
      </w:pPr>
      <w:r w:rsidRPr="003A4E2E">
        <w:rPr>
          <w:rFonts w:ascii="Arial" w:hAnsi="Arial" w:cs="Arial"/>
        </w:rPr>
        <w:t>- le scadenze</w:t>
      </w:r>
      <w:r w:rsidR="003A4E2E">
        <w:rPr>
          <w:rFonts w:ascii="Arial" w:hAnsi="Arial" w:cs="Arial"/>
        </w:rPr>
        <w:t xml:space="preserve"> (</w:t>
      </w:r>
      <w:r w:rsidRPr="003A4E2E">
        <w:rPr>
          <w:rFonts w:ascii="Arial" w:hAnsi="Arial" w:cs="Arial"/>
        </w:rPr>
        <w:t>obblighi dichiarativi</w:t>
      </w:r>
      <w:r w:rsidR="003A4E2E">
        <w:rPr>
          <w:rFonts w:ascii="Arial" w:hAnsi="Arial" w:cs="Arial"/>
        </w:rPr>
        <w:t xml:space="preserve"> e di riversamento dell’imposta</w:t>
      </w:r>
      <w:r w:rsidRPr="003A4E2E">
        <w:rPr>
          <w:rFonts w:ascii="Arial" w:hAnsi="Arial" w:cs="Arial"/>
        </w:rPr>
        <w:t>)  del  primo trimestre dell’anno  2021, previste  per il periodo compreso tra il 01 aprile al  15 aprile 2021, sono ormai  giunte al termine, in quanto la maggioranza delle strutture hanno già diligentemente provveduto ad effettuare  la presentazione delle dichiarazioni ed il relativo riversamento di imposta;</w:t>
      </w:r>
    </w:p>
    <w:p w:rsidR="00D55821" w:rsidRPr="003A4E2E" w:rsidRDefault="00D55821" w:rsidP="007E1CFC">
      <w:pPr>
        <w:pStyle w:val="Corpodeltesto"/>
        <w:spacing w:before="81"/>
        <w:ind w:left="824" w:right="682"/>
        <w:jc w:val="both"/>
        <w:rPr>
          <w:rStyle w:val="Enfasicorsivo"/>
          <w:rFonts w:ascii="Arial" w:hAnsi="Arial" w:cs="Arial"/>
          <w:color w:val="000000"/>
          <w:bdr w:val="none" w:sz="0" w:space="0" w:color="auto" w:frame="1"/>
          <w:shd w:val="clear" w:color="auto" w:fill="FFFFFF"/>
        </w:rPr>
      </w:pPr>
      <w:r w:rsidRPr="003A4E2E">
        <w:rPr>
          <w:rFonts w:ascii="Arial" w:hAnsi="Arial" w:cs="Arial"/>
        </w:rPr>
        <w:t xml:space="preserve">- la normativa applicabile  al caso di specie , afferente, in particolare l’efficacia delle deliberazioni in materia di imposta di soggiorno, non consentirebbe una efficacia retroattiva alle disposizioni in essa contenute bensì un’efficacia </w:t>
      </w:r>
      <w:r w:rsidRPr="003A4E2E">
        <w:rPr>
          <w:rFonts w:ascii="Arial" w:hAnsi="Arial" w:cs="Arial"/>
          <w:shd w:val="clear" w:color="auto" w:fill="FFFFFF"/>
        </w:rPr>
        <w:t>successiva, ovverossia  dal</w:t>
      </w:r>
      <w:r w:rsidR="003A4E2E">
        <w:rPr>
          <w:rFonts w:ascii="Arial" w:hAnsi="Arial" w:cs="Arial"/>
          <w:shd w:val="clear" w:color="auto" w:fill="FFFFFF"/>
        </w:rPr>
        <w:t xml:space="preserve"> </w:t>
      </w:r>
      <w:r w:rsidRPr="003A4E2E">
        <w:rPr>
          <w:rStyle w:val="Enfasigrassetto"/>
          <w:rFonts w:ascii="Arial" w:hAnsi="Arial" w:cs="Arial"/>
          <w:shd w:val="clear" w:color="auto" w:fill="FFFFFF"/>
        </w:rPr>
        <w:t>primo</w:t>
      </w:r>
      <w:r w:rsidR="003A4E2E">
        <w:rPr>
          <w:rFonts w:ascii="Arial" w:hAnsi="Arial" w:cs="Arial"/>
          <w:shd w:val="clear" w:color="auto" w:fill="FFFFFF"/>
        </w:rPr>
        <w:t xml:space="preserve"> </w:t>
      </w:r>
      <w:r w:rsidRPr="003A4E2E">
        <w:rPr>
          <w:rStyle w:val="Enfasigrassetto"/>
          <w:rFonts w:ascii="Arial" w:hAnsi="Arial" w:cs="Arial"/>
          <w:shd w:val="clear" w:color="auto" w:fill="FFFFFF"/>
        </w:rPr>
        <w:t>giorno del secondo mese successivo</w:t>
      </w:r>
      <w:r w:rsidR="003A4E2E">
        <w:rPr>
          <w:rFonts w:ascii="Arial" w:hAnsi="Arial" w:cs="Arial"/>
          <w:shd w:val="clear" w:color="auto" w:fill="FFFFFF"/>
        </w:rPr>
        <w:t xml:space="preserve"> </w:t>
      </w:r>
      <w:r w:rsidRPr="003A4E2E">
        <w:rPr>
          <w:rFonts w:ascii="Arial" w:hAnsi="Arial" w:cs="Arial"/>
          <w:shd w:val="clear" w:color="auto" w:fill="FFFFFF"/>
        </w:rPr>
        <w:t>a quello della loro pubblicazione sul portale del federalismo , in attuazione alle indicazioni Ministeriali  del 23.03.2021 applicative dell’art. 13 comma 15 quater del dl 201/2011, e s.m.i.,  che testè recita</w:t>
      </w:r>
      <w:r w:rsidRPr="003A4E2E">
        <w:rPr>
          <w:rFonts w:ascii="Arial" w:hAnsi="Arial" w:cs="Arial"/>
          <w:color w:val="000000"/>
          <w:shd w:val="clear" w:color="auto" w:fill="FFFFFF"/>
        </w:rPr>
        <w:t>:</w:t>
      </w:r>
      <w:r w:rsidRPr="003A4E2E">
        <w:rPr>
          <w:rFonts w:ascii="Arial" w:hAnsi="Arial" w:cs="Arial"/>
          <w:color w:val="000000"/>
          <w:bdr w:val="none" w:sz="0" w:space="0" w:color="auto" w:frame="1"/>
          <w:shd w:val="clear" w:color="auto" w:fill="FFFFFF"/>
        </w:rPr>
        <w:t xml:space="preserve"> </w:t>
      </w:r>
      <w:r w:rsidRPr="003A4E2E">
        <w:rPr>
          <w:rStyle w:val="Enfasicorsivo"/>
          <w:rFonts w:ascii="Arial" w:hAnsi="Arial" w:cs="Arial"/>
          <w:color w:val="000000"/>
          <w:bdr w:val="none" w:sz="0" w:space="0" w:color="auto" w:frame="1"/>
          <w:shd w:val="clear" w:color="auto" w:fill="FFFFFF"/>
        </w:rPr>
        <w:t>15-quater. A decorrere dall’anno di imposta 2020, i regolamenti e le delibere di approvazione delle tariffe relativi all’imposta di soggiorno …omissis…,</w:t>
      </w:r>
      <w:r w:rsidR="003A4E2E">
        <w:rPr>
          <w:rStyle w:val="Enfasicorsivo"/>
          <w:rFonts w:ascii="Arial" w:hAnsi="Arial" w:cs="Arial"/>
          <w:color w:val="000000"/>
          <w:bdr w:val="none" w:sz="0" w:space="0" w:color="auto" w:frame="1"/>
          <w:shd w:val="clear" w:color="auto" w:fill="FFFFFF"/>
        </w:rPr>
        <w:t xml:space="preserve"> </w:t>
      </w:r>
      <w:r w:rsidRPr="003A4E2E">
        <w:rPr>
          <w:rStyle w:val="Enfasigrassetto"/>
          <w:rFonts w:ascii="Arial" w:hAnsi="Arial" w:cs="Arial"/>
          <w:i/>
          <w:iCs/>
          <w:color w:val="000000"/>
          <w:bdr w:val="none" w:sz="0" w:space="0" w:color="auto" w:frame="1"/>
          <w:shd w:val="clear" w:color="auto" w:fill="FFFFFF"/>
        </w:rPr>
        <w:t>hanno effetto dal primo giorno del secondo mese successivo a quello della loro pubblicazione effettuata ai sensi del comma 15.</w:t>
      </w:r>
      <w:r w:rsidR="003A4E2E">
        <w:rPr>
          <w:rStyle w:val="Enfasicorsivo"/>
          <w:rFonts w:ascii="Arial" w:hAnsi="Arial" w:cs="Arial"/>
          <w:color w:val="000000"/>
          <w:bdr w:val="none" w:sz="0" w:space="0" w:color="auto" w:frame="1"/>
          <w:shd w:val="clear" w:color="auto" w:fill="FFFFFF"/>
        </w:rPr>
        <w:t xml:space="preserve"> </w:t>
      </w:r>
      <w:r w:rsidRPr="003A4E2E">
        <w:rPr>
          <w:rStyle w:val="Enfasicorsivo"/>
          <w:rFonts w:ascii="Arial" w:hAnsi="Arial" w:cs="Arial"/>
          <w:color w:val="000000"/>
          <w:bdr w:val="none" w:sz="0" w:space="0" w:color="auto" w:frame="1"/>
          <w:shd w:val="clear" w:color="auto" w:fill="FFFFFF"/>
        </w:rPr>
        <w:t xml:space="preserve">Il Ministero dell’economia e delle finanze provvede alla pubblicazione dei regolamenti e delle delibere di cui al periodo precedente entro i quindici giorni lavorativi successivi alla data di inserimento nel portale del federalismo fiscale”; </w:t>
      </w:r>
    </w:p>
    <w:p w:rsidR="00D55821" w:rsidRDefault="00D55821" w:rsidP="007E1CFC">
      <w:pPr>
        <w:pStyle w:val="Corpodeltesto"/>
        <w:spacing w:before="81"/>
        <w:ind w:left="824" w:right="682"/>
        <w:jc w:val="both"/>
        <w:rPr>
          <w:rFonts w:ascii="Arial" w:hAnsi="Arial" w:cs="Arial"/>
        </w:rPr>
      </w:pPr>
      <w:r w:rsidRPr="003A4E2E">
        <w:rPr>
          <w:rFonts w:ascii="Arial" w:hAnsi="Arial" w:cs="Arial"/>
        </w:rPr>
        <w:t xml:space="preserve">- il perdurare della pandemia stà continuando a generare effetti disastrosi  sul comparto turistico, si ritiene opportuno, non potendosi, per le ragioni anzi descritte,  in alcun modo operare un differimento del periodo di scadenza in corso con efficacia retroattiva, differire </w:t>
      </w:r>
      <w:r w:rsidRPr="003A4E2E">
        <w:rPr>
          <w:rFonts w:ascii="Arial" w:hAnsi="Arial" w:cs="Arial"/>
          <w:b/>
        </w:rPr>
        <w:t>al 15 novembre 2021</w:t>
      </w:r>
      <w:r w:rsidRPr="003A4E2E">
        <w:rPr>
          <w:rFonts w:ascii="Arial" w:hAnsi="Arial" w:cs="Arial"/>
        </w:rPr>
        <w:t xml:space="preserve"> la scadenza relativa agli obblighi sia dichiarativi che di riversamento dell’imposta di soggiorno afferente il </w:t>
      </w:r>
      <w:r w:rsidR="003A4E2E">
        <w:rPr>
          <w:rFonts w:ascii="Arial" w:hAnsi="Arial" w:cs="Arial"/>
        </w:rPr>
        <w:t>secondo e terzo  trimestre 2021</w:t>
      </w:r>
      <w:r w:rsidRPr="003A4E2E">
        <w:rPr>
          <w:rFonts w:ascii="Arial" w:hAnsi="Arial" w:cs="Arial"/>
        </w:rPr>
        <w:t xml:space="preserve">, mantenendo invariata la scadenza del </w:t>
      </w:r>
      <w:r w:rsidR="003A4E2E">
        <w:rPr>
          <w:rFonts w:ascii="Arial" w:hAnsi="Arial" w:cs="Arial"/>
        </w:rPr>
        <w:t xml:space="preserve">15 gennaio 2022 relativa al  IV </w:t>
      </w:r>
      <w:r w:rsidRPr="003A4E2E">
        <w:rPr>
          <w:rFonts w:ascii="Arial" w:hAnsi="Arial" w:cs="Arial"/>
        </w:rPr>
        <w:t xml:space="preserve">trimestre 2021; </w:t>
      </w:r>
    </w:p>
    <w:p w:rsidR="003A4E2E" w:rsidRPr="003A4E2E" w:rsidRDefault="003A4E2E" w:rsidP="007E1CFC">
      <w:pPr>
        <w:pStyle w:val="Corpodeltesto"/>
        <w:spacing w:before="81"/>
        <w:ind w:left="824" w:right="682"/>
        <w:jc w:val="both"/>
        <w:rPr>
          <w:rFonts w:ascii="Arial" w:hAnsi="Arial" w:cs="Arial"/>
        </w:rPr>
      </w:pPr>
    </w:p>
    <w:p w:rsidR="00D55821" w:rsidRPr="003A4E2E" w:rsidRDefault="00D55821" w:rsidP="007E1CFC">
      <w:pPr>
        <w:spacing w:before="79"/>
        <w:ind w:left="824" w:right="682"/>
        <w:jc w:val="both"/>
        <w:rPr>
          <w:rFonts w:ascii="Arial" w:hAnsi="Arial" w:cs="Arial"/>
          <w:sz w:val="24"/>
        </w:rPr>
      </w:pPr>
      <w:r w:rsidRPr="003A4E2E">
        <w:rPr>
          <w:rFonts w:ascii="Arial" w:hAnsi="Arial" w:cs="Arial"/>
          <w:b/>
          <w:sz w:val="24"/>
        </w:rPr>
        <w:t>Considerato</w:t>
      </w:r>
      <w:r w:rsidRPr="003A4E2E">
        <w:rPr>
          <w:rFonts w:ascii="Arial" w:hAnsi="Arial" w:cs="Arial"/>
          <w:sz w:val="24"/>
        </w:rPr>
        <w:t xml:space="preserve">, altresì, che per poter differire ulteriormente la scadenza relativa agli obblighi sia dichiarativi che di riversamento dell’imposta  dell’anno 2021 occorre integrare  il comma 3 bis dell’ art 7 del vigente regolamento dell’imposta di soggiorno  come segue : </w:t>
      </w:r>
    </w:p>
    <w:p w:rsidR="00D55821" w:rsidRPr="003A4E2E" w:rsidRDefault="00D55821" w:rsidP="007E1CFC">
      <w:pPr>
        <w:spacing w:before="79"/>
        <w:ind w:left="824" w:right="682"/>
        <w:jc w:val="both"/>
        <w:rPr>
          <w:rFonts w:ascii="Arial" w:hAnsi="Arial" w:cs="Arial"/>
          <w:i/>
          <w:sz w:val="24"/>
        </w:rPr>
      </w:pPr>
      <w:r w:rsidRPr="003A4E2E">
        <w:rPr>
          <w:rFonts w:ascii="Arial" w:hAnsi="Arial" w:cs="Arial"/>
          <w:sz w:val="24"/>
        </w:rPr>
        <w:t>“Limitatamente all’esercizio finanziario 2020 la dichiarazione di cui al precedente punto 3), ed il riversamento dell’ imposta di soggiorno afferente il primo, il secondo ed il terzo trimestre potranno essere effettuati entro il 30 novembre</w:t>
      </w:r>
      <w:r w:rsidRPr="003A4E2E">
        <w:rPr>
          <w:rFonts w:ascii="Arial" w:hAnsi="Arial" w:cs="Arial"/>
          <w:i/>
          <w:sz w:val="24"/>
        </w:rPr>
        <w:t xml:space="preserve">. Limitatamente all’esercizio finanziario 2021 , stante  il perdurare dell’emergenza epidemiologica ,  la dichiarazione di cui al precedente periodo  ed il riversamento dell’ imposta di soggiorno afferente il secondo ed il terzo trimestre potranno essere effettuati entro il 15 novembre </w:t>
      </w:r>
      <w:smartTag w:uri="urn:schemas-microsoft-com:office:smarttags" w:element="metricconverter">
        <w:smartTagPr>
          <w:attr w:name="ProductID" w:val="2021.”"/>
        </w:smartTagPr>
        <w:r w:rsidRPr="003A4E2E">
          <w:rPr>
            <w:rFonts w:ascii="Arial" w:hAnsi="Arial" w:cs="Arial"/>
            <w:i/>
            <w:sz w:val="24"/>
          </w:rPr>
          <w:t>2021.”</w:t>
        </w:r>
      </w:smartTag>
    </w:p>
    <w:p w:rsidR="00D55821" w:rsidRDefault="00D55821" w:rsidP="007E1CFC">
      <w:pPr>
        <w:pStyle w:val="Corpodeltesto"/>
        <w:spacing w:before="80"/>
        <w:ind w:left="824" w:right="684"/>
        <w:jc w:val="both"/>
        <w:rPr>
          <w:rFonts w:ascii="Arial" w:hAnsi="Arial" w:cs="Arial"/>
        </w:rPr>
      </w:pPr>
      <w:r w:rsidRPr="003A4E2E">
        <w:rPr>
          <w:rFonts w:ascii="Arial" w:hAnsi="Arial" w:cs="Arial"/>
        </w:rPr>
        <w:t>In tal modo entro il 15 novembre  2021 le strutture ricettive potranno procedere ad effettuare sia il riversamento che la presentazione della dichiarazione afferente sia il  secondo che il terzo trimestre 2021, semplificando ed unificando cosi gli adempimenti dei gestori delle strutture ricettive presenti sul territorio comunale;</w:t>
      </w:r>
    </w:p>
    <w:p w:rsidR="003A4E2E" w:rsidRDefault="003A4E2E" w:rsidP="007E1CFC">
      <w:pPr>
        <w:pStyle w:val="Corpodeltesto"/>
        <w:spacing w:before="80"/>
        <w:ind w:left="824" w:right="684"/>
        <w:jc w:val="both"/>
        <w:rPr>
          <w:rFonts w:ascii="Arial" w:hAnsi="Arial" w:cs="Arial"/>
        </w:rPr>
      </w:pPr>
    </w:p>
    <w:p w:rsidR="003A4E2E" w:rsidRDefault="003A4E2E" w:rsidP="007E1CFC">
      <w:pPr>
        <w:pStyle w:val="Corpodeltesto"/>
        <w:spacing w:before="80"/>
        <w:ind w:left="824" w:right="684"/>
        <w:jc w:val="both"/>
        <w:rPr>
          <w:rFonts w:ascii="Arial" w:hAnsi="Arial" w:cs="Arial"/>
        </w:rPr>
      </w:pPr>
    </w:p>
    <w:p w:rsidR="003A4E2E" w:rsidRPr="003A4E2E" w:rsidRDefault="003A4E2E" w:rsidP="007E1CFC">
      <w:pPr>
        <w:pStyle w:val="Corpodeltesto"/>
        <w:spacing w:before="80"/>
        <w:ind w:left="824" w:right="684"/>
        <w:jc w:val="both"/>
        <w:rPr>
          <w:rFonts w:ascii="Arial" w:hAnsi="Arial" w:cs="Arial"/>
        </w:rPr>
      </w:pPr>
    </w:p>
    <w:p w:rsidR="00D55821" w:rsidRDefault="00D55821" w:rsidP="003A4E2E">
      <w:pPr>
        <w:pStyle w:val="Heading11"/>
        <w:spacing w:before="82"/>
        <w:ind w:right="566"/>
        <w:rPr>
          <w:rFonts w:ascii="Arial" w:hAnsi="Arial" w:cs="Arial"/>
          <w:b w:val="0"/>
        </w:rPr>
      </w:pPr>
      <w:r w:rsidRPr="003A4E2E">
        <w:rPr>
          <w:rFonts w:ascii="Arial" w:hAnsi="Arial" w:cs="Arial"/>
        </w:rPr>
        <w:t xml:space="preserve">Visti </w:t>
      </w:r>
      <w:r w:rsidRPr="003A4E2E">
        <w:rPr>
          <w:rFonts w:ascii="Arial" w:hAnsi="Arial" w:cs="Arial"/>
          <w:b w:val="0"/>
        </w:rPr>
        <w:t>:</w:t>
      </w:r>
    </w:p>
    <w:p w:rsidR="003A4E2E" w:rsidRPr="003A4E2E" w:rsidRDefault="003A4E2E" w:rsidP="003A4E2E">
      <w:pPr>
        <w:pStyle w:val="Heading11"/>
        <w:spacing w:before="82"/>
        <w:ind w:right="566"/>
        <w:rPr>
          <w:rFonts w:ascii="Arial" w:hAnsi="Arial" w:cs="Arial"/>
          <w:b w:val="0"/>
        </w:rPr>
      </w:pPr>
    </w:p>
    <w:p w:rsidR="00D55821" w:rsidRPr="003A4E2E" w:rsidRDefault="003A4E2E" w:rsidP="003A4E2E">
      <w:pPr>
        <w:spacing w:before="79"/>
        <w:ind w:left="851" w:right="566"/>
        <w:jc w:val="both"/>
        <w:rPr>
          <w:rFonts w:ascii="Arial" w:hAnsi="Arial" w:cs="Arial"/>
          <w:sz w:val="24"/>
        </w:rPr>
      </w:pPr>
      <w:r>
        <w:rPr>
          <w:rFonts w:ascii="Arial" w:hAnsi="Arial" w:cs="Arial"/>
          <w:sz w:val="24"/>
        </w:rPr>
        <w:t xml:space="preserve">- </w:t>
      </w:r>
      <w:r w:rsidR="00D55821" w:rsidRPr="003A4E2E">
        <w:rPr>
          <w:rFonts w:ascii="Arial" w:hAnsi="Arial" w:cs="Arial"/>
          <w:sz w:val="24"/>
        </w:rPr>
        <w:t>la L. 212/2000 in materia di diritti del</w:t>
      </w:r>
      <w:r w:rsidR="00D55821" w:rsidRPr="003A4E2E">
        <w:rPr>
          <w:rFonts w:ascii="Arial" w:hAnsi="Arial" w:cs="Arial"/>
          <w:spacing w:val="-2"/>
          <w:sz w:val="24"/>
        </w:rPr>
        <w:t xml:space="preserve"> </w:t>
      </w:r>
      <w:r w:rsidR="00D55821" w:rsidRPr="003A4E2E">
        <w:rPr>
          <w:rFonts w:ascii="Arial" w:hAnsi="Arial" w:cs="Arial"/>
          <w:sz w:val="24"/>
        </w:rPr>
        <w:t>contribuente;</w:t>
      </w:r>
    </w:p>
    <w:p w:rsidR="00D55821" w:rsidRPr="003A4E2E" w:rsidRDefault="003A4E2E" w:rsidP="003A4E2E">
      <w:pPr>
        <w:spacing w:before="79"/>
        <w:ind w:left="851" w:right="566"/>
        <w:jc w:val="both"/>
        <w:rPr>
          <w:rFonts w:ascii="Arial" w:hAnsi="Arial" w:cs="Arial"/>
          <w:sz w:val="24"/>
        </w:rPr>
      </w:pPr>
      <w:r>
        <w:rPr>
          <w:rFonts w:ascii="Arial" w:hAnsi="Arial" w:cs="Arial"/>
          <w:sz w:val="24"/>
        </w:rPr>
        <w:t xml:space="preserve">- </w:t>
      </w:r>
      <w:r w:rsidR="00D55821" w:rsidRPr="003A4E2E">
        <w:rPr>
          <w:rFonts w:ascii="Arial" w:hAnsi="Arial" w:cs="Arial"/>
          <w:sz w:val="24"/>
        </w:rPr>
        <w:t>il Regolamento sull'imposta di soggiorno nel Comune di Ferrara ,approvato con delibera del Consiglio Comunale n. 7/13736/2013 del 25/03/2013 modificato con delibera del Consiglio Comunale n. 94/130122/2018 del</w:t>
      </w:r>
      <w:r w:rsidR="00D55821" w:rsidRPr="003A4E2E">
        <w:rPr>
          <w:rFonts w:ascii="Arial" w:hAnsi="Arial" w:cs="Arial"/>
          <w:spacing w:val="-2"/>
          <w:sz w:val="24"/>
        </w:rPr>
        <w:t xml:space="preserve"> </w:t>
      </w:r>
      <w:r w:rsidR="000655EB">
        <w:rPr>
          <w:rFonts w:ascii="Arial" w:hAnsi="Arial" w:cs="Arial"/>
          <w:sz w:val="24"/>
        </w:rPr>
        <w:t>23/11/2018 e n. 6-61855/2020</w:t>
      </w:r>
      <w:r w:rsidR="005444EC">
        <w:rPr>
          <w:rFonts w:ascii="Arial" w:hAnsi="Arial" w:cs="Arial"/>
          <w:sz w:val="24"/>
        </w:rPr>
        <w:t xml:space="preserve"> del 07/07/2020</w:t>
      </w:r>
      <w:r w:rsidR="00D55821" w:rsidRPr="003A4E2E">
        <w:rPr>
          <w:rFonts w:ascii="Arial" w:hAnsi="Arial" w:cs="Arial"/>
          <w:sz w:val="24"/>
        </w:rPr>
        <w:t>;</w:t>
      </w:r>
    </w:p>
    <w:p w:rsidR="00D55821" w:rsidRPr="003A4E2E" w:rsidRDefault="003A4E2E" w:rsidP="003A4E2E">
      <w:pPr>
        <w:tabs>
          <w:tab w:val="left" w:pos="1077"/>
        </w:tabs>
        <w:spacing w:before="79"/>
        <w:ind w:left="851" w:right="566"/>
        <w:jc w:val="both"/>
        <w:rPr>
          <w:rFonts w:ascii="Arial" w:hAnsi="Arial" w:cs="Arial"/>
          <w:sz w:val="24"/>
        </w:rPr>
      </w:pPr>
      <w:r>
        <w:rPr>
          <w:rFonts w:ascii="Arial" w:hAnsi="Arial" w:cs="Arial"/>
          <w:sz w:val="24"/>
        </w:rPr>
        <w:t xml:space="preserve">- </w:t>
      </w:r>
      <w:r w:rsidR="00D55821" w:rsidRPr="003A4E2E">
        <w:rPr>
          <w:rFonts w:ascii="Arial" w:hAnsi="Arial" w:cs="Arial"/>
          <w:sz w:val="24"/>
        </w:rPr>
        <w:t>il vigente Regolamento Generale delle Entrate approvato con delibera Consiglio</w:t>
      </w:r>
      <w:r>
        <w:rPr>
          <w:rFonts w:ascii="Arial" w:hAnsi="Arial" w:cs="Arial"/>
          <w:sz w:val="24"/>
        </w:rPr>
        <w:t xml:space="preserve"> N. </w:t>
      </w:r>
      <w:r w:rsidR="00E62BBB">
        <w:rPr>
          <w:rFonts w:ascii="Arial" w:hAnsi="Arial" w:cs="Arial"/>
          <w:sz w:val="24"/>
        </w:rPr>
        <w:t xml:space="preserve">67707  del </w:t>
      </w:r>
      <w:r>
        <w:rPr>
          <w:rFonts w:ascii="Arial" w:hAnsi="Arial" w:cs="Arial"/>
          <w:sz w:val="24"/>
        </w:rPr>
        <w:t>27/07</w:t>
      </w:r>
      <w:r w:rsidR="00D55821" w:rsidRPr="003A4E2E">
        <w:rPr>
          <w:rFonts w:ascii="Arial" w:hAnsi="Arial" w:cs="Arial"/>
          <w:sz w:val="24"/>
        </w:rPr>
        <w:t>/2020;</w:t>
      </w:r>
    </w:p>
    <w:p w:rsidR="00D55821" w:rsidRPr="003A4E2E" w:rsidRDefault="003A4E2E" w:rsidP="003A4E2E">
      <w:pPr>
        <w:spacing w:before="83"/>
        <w:ind w:left="851" w:right="566"/>
        <w:jc w:val="both"/>
        <w:rPr>
          <w:rFonts w:ascii="Arial" w:hAnsi="Arial" w:cs="Arial"/>
          <w:sz w:val="24"/>
        </w:rPr>
      </w:pPr>
      <w:r>
        <w:rPr>
          <w:rFonts w:ascii="Arial" w:hAnsi="Arial" w:cs="Arial"/>
          <w:sz w:val="24"/>
        </w:rPr>
        <w:t xml:space="preserve">- </w:t>
      </w:r>
      <w:r w:rsidR="00D55821" w:rsidRPr="003A4E2E">
        <w:rPr>
          <w:rFonts w:ascii="Arial" w:hAnsi="Arial" w:cs="Arial"/>
          <w:sz w:val="24"/>
        </w:rPr>
        <w:t xml:space="preserve">il  decreto  sostegni del 22 marzo 2021  che ha  differito il termine di approvazione dei bilanci degli enti locali al  30 aprile </w:t>
      </w:r>
      <w:r w:rsidR="00D55821" w:rsidRPr="003A4E2E">
        <w:rPr>
          <w:rFonts w:ascii="Arial" w:hAnsi="Arial" w:cs="Arial"/>
          <w:spacing w:val="-1"/>
          <w:sz w:val="24"/>
        </w:rPr>
        <w:t xml:space="preserve"> </w:t>
      </w:r>
      <w:r w:rsidR="00D55821" w:rsidRPr="003A4E2E">
        <w:rPr>
          <w:rFonts w:ascii="Arial" w:hAnsi="Arial" w:cs="Arial"/>
          <w:sz w:val="24"/>
        </w:rPr>
        <w:t>2021;</w:t>
      </w:r>
    </w:p>
    <w:p w:rsidR="00D55821" w:rsidRPr="003A4E2E" w:rsidRDefault="003A4E2E" w:rsidP="003A4E2E">
      <w:pPr>
        <w:tabs>
          <w:tab w:val="left" w:pos="1027"/>
        </w:tabs>
        <w:spacing w:before="79"/>
        <w:ind w:left="851" w:right="566"/>
        <w:jc w:val="both"/>
        <w:rPr>
          <w:rFonts w:ascii="Arial" w:hAnsi="Arial" w:cs="Arial"/>
          <w:sz w:val="24"/>
        </w:rPr>
      </w:pPr>
      <w:r>
        <w:rPr>
          <w:rFonts w:ascii="Arial" w:hAnsi="Arial" w:cs="Arial"/>
          <w:sz w:val="24"/>
        </w:rPr>
        <w:t xml:space="preserve">- </w:t>
      </w:r>
      <w:r w:rsidR="00D55821" w:rsidRPr="003A4E2E">
        <w:rPr>
          <w:rFonts w:ascii="Arial" w:hAnsi="Arial" w:cs="Arial"/>
          <w:sz w:val="24"/>
        </w:rPr>
        <w:t>gli articoli 52 del D.Lgs. 446/97 e 7 del D.Lgs. 267/2000 , in tema di potestà regolamentare del</w:t>
      </w:r>
      <w:r w:rsidR="00D55821" w:rsidRPr="003A4E2E">
        <w:rPr>
          <w:rFonts w:ascii="Arial" w:hAnsi="Arial" w:cs="Arial"/>
          <w:spacing w:val="-2"/>
          <w:sz w:val="24"/>
        </w:rPr>
        <w:t xml:space="preserve"> </w:t>
      </w:r>
      <w:r w:rsidR="00D55821" w:rsidRPr="003A4E2E">
        <w:rPr>
          <w:rFonts w:ascii="Arial" w:hAnsi="Arial" w:cs="Arial"/>
          <w:sz w:val="24"/>
        </w:rPr>
        <w:t>Comune;</w:t>
      </w:r>
    </w:p>
    <w:p w:rsidR="00D55821" w:rsidRPr="003A4E2E" w:rsidRDefault="003A4E2E" w:rsidP="003A4E2E">
      <w:pPr>
        <w:spacing w:before="84" w:line="237" w:lineRule="auto"/>
        <w:ind w:left="851" w:right="566"/>
        <w:jc w:val="both"/>
        <w:rPr>
          <w:rFonts w:ascii="Arial" w:hAnsi="Arial" w:cs="Arial"/>
          <w:sz w:val="24"/>
        </w:rPr>
      </w:pPr>
      <w:r>
        <w:rPr>
          <w:rFonts w:ascii="Arial" w:hAnsi="Arial" w:cs="Arial"/>
          <w:sz w:val="24"/>
        </w:rPr>
        <w:t xml:space="preserve">- </w:t>
      </w:r>
      <w:r w:rsidR="00D55821" w:rsidRPr="003A4E2E">
        <w:rPr>
          <w:rFonts w:ascii="Arial" w:hAnsi="Arial" w:cs="Arial"/>
          <w:sz w:val="24"/>
        </w:rPr>
        <w:t>l’art. 13, del Dl. 201 del 2011, commi 15- 15ter in materia di pubblicazione ed efficacia delle deliberazioni afferenti l’imposta di soggiorno;</w:t>
      </w:r>
    </w:p>
    <w:p w:rsidR="00D55821" w:rsidRPr="003A4E2E" w:rsidRDefault="003A4E2E" w:rsidP="00CD624C">
      <w:pPr>
        <w:spacing w:before="75"/>
        <w:ind w:left="851" w:right="566"/>
        <w:jc w:val="both"/>
        <w:rPr>
          <w:rFonts w:ascii="Arial" w:hAnsi="Arial" w:cs="Arial"/>
          <w:sz w:val="24"/>
        </w:rPr>
      </w:pPr>
      <w:r>
        <w:rPr>
          <w:rFonts w:ascii="Arial" w:hAnsi="Arial" w:cs="Arial"/>
          <w:sz w:val="24"/>
        </w:rPr>
        <w:t xml:space="preserve">- </w:t>
      </w:r>
      <w:r w:rsidR="00D55821" w:rsidRPr="003A4E2E">
        <w:rPr>
          <w:rFonts w:ascii="Arial" w:hAnsi="Arial" w:cs="Arial"/>
          <w:sz w:val="24"/>
        </w:rPr>
        <w:t>il Testo unico enti locali</w:t>
      </w:r>
      <w:r w:rsidR="00A06138">
        <w:rPr>
          <w:rFonts w:ascii="Arial" w:hAnsi="Arial" w:cs="Arial"/>
          <w:sz w:val="24"/>
        </w:rPr>
        <w:t xml:space="preserve"> (TUEL)</w:t>
      </w:r>
      <w:r w:rsidR="00D55821" w:rsidRPr="003A4E2E">
        <w:rPr>
          <w:rFonts w:ascii="Arial" w:hAnsi="Arial" w:cs="Arial"/>
          <w:sz w:val="24"/>
        </w:rPr>
        <w:t>, con particolare riferimento ai seguenti</w:t>
      </w:r>
      <w:r w:rsidR="00D55821" w:rsidRPr="003A4E2E">
        <w:rPr>
          <w:rFonts w:ascii="Arial" w:hAnsi="Arial" w:cs="Arial"/>
          <w:spacing w:val="-5"/>
          <w:sz w:val="24"/>
        </w:rPr>
        <w:t xml:space="preserve"> </w:t>
      </w:r>
      <w:r w:rsidR="00D55821" w:rsidRPr="003A4E2E">
        <w:rPr>
          <w:rFonts w:ascii="Arial" w:hAnsi="Arial" w:cs="Arial"/>
          <w:sz w:val="24"/>
        </w:rPr>
        <w:t>articoli:</w:t>
      </w:r>
      <w:r w:rsidR="00CD624C">
        <w:rPr>
          <w:rFonts w:ascii="Arial" w:hAnsi="Arial" w:cs="Arial"/>
          <w:sz w:val="24"/>
        </w:rPr>
        <w:t xml:space="preserve"> </w:t>
      </w:r>
      <w:r w:rsidR="00D55821" w:rsidRPr="003A4E2E">
        <w:rPr>
          <w:rFonts w:ascii="Arial" w:hAnsi="Arial" w:cs="Arial"/>
          <w:sz w:val="24"/>
        </w:rPr>
        <w:t>l’art.</w:t>
      </w:r>
      <w:r w:rsidR="00CD624C">
        <w:rPr>
          <w:rFonts w:ascii="Arial" w:hAnsi="Arial" w:cs="Arial"/>
          <w:sz w:val="24"/>
        </w:rPr>
        <w:t xml:space="preserve"> </w:t>
      </w:r>
      <w:r w:rsidR="00D55821" w:rsidRPr="003A4E2E">
        <w:rPr>
          <w:rFonts w:ascii="Arial" w:hAnsi="Arial" w:cs="Arial"/>
          <w:sz w:val="24"/>
        </w:rPr>
        <w:t>42 del D.Lgs</w:t>
      </w:r>
      <w:r>
        <w:rPr>
          <w:rFonts w:ascii="Arial" w:hAnsi="Arial" w:cs="Arial"/>
          <w:sz w:val="24"/>
        </w:rPr>
        <w:t>. 267/2000, la L</w:t>
      </w:r>
      <w:r w:rsidR="00D55821" w:rsidRPr="003A4E2E">
        <w:rPr>
          <w:rFonts w:ascii="Arial" w:hAnsi="Arial" w:cs="Arial"/>
          <w:sz w:val="24"/>
        </w:rPr>
        <w:t>. 32/2009 e s.m.i. in materia di pubblicazione all’albo degli atti ed il CAD ( Codice Amministrazione Digitale</w:t>
      </w:r>
      <w:r>
        <w:rPr>
          <w:rFonts w:ascii="Arial" w:hAnsi="Arial" w:cs="Arial"/>
          <w:sz w:val="24"/>
        </w:rPr>
        <w:t xml:space="preserve"> </w:t>
      </w:r>
      <w:r w:rsidR="00D55821" w:rsidRPr="003A4E2E">
        <w:rPr>
          <w:rFonts w:ascii="Arial" w:hAnsi="Arial" w:cs="Arial"/>
          <w:sz w:val="24"/>
        </w:rPr>
        <w:t>- D.lgs.  82/2005</w:t>
      </w:r>
      <w:r w:rsidR="00D55821" w:rsidRPr="003A4E2E">
        <w:rPr>
          <w:rFonts w:ascii="Arial" w:hAnsi="Arial" w:cs="Arial"/>
          <w:spacing w:val="-9"/>
          <w:sz w:val="24"/>
        </w:rPr>
        <w:t xml:space="preserve"> </w:t>
      </w:r>
      <w:r w:rsidR="00D55821" w:rsidRPr="003A4E2E">
        <w:rPr>
          <w:rFonts w:ascii="Arial" w:hAnsi="Arial" w:cs="Arial"/>
          <w:sz w:val="24"/>
        </w:rPr>
        <w:t>);</w:t>
      </w:r>
    </w:p>
    <w:p w:rsidR="00D55821" w:rsidRPr="003A4E2E" w:rsidRDefault="00CD624C" w:rsidP="003A4E2E">
      <w:pPr>
        <w:spacing w:before="83"/>
        <w:ind w:left="851" w:right="566"/>
        <w:jc w:val="both"/>
        <w:rPr>
          <w:rFonts w:ascii="Arial" w:hAnsi="Arial" w:cs="Arial"/>
          <w:i/>
          <w:sz w:val="24"/>
        </w:rPr>
      </w:pPr>
      <w:r>
        <w:rPr>
          <w:rFonts w:ascii="Arial" w:hAnsi="Arial" w:cs="Arial"/>
          <w:sz w:val="24"/>
        </w:rPr>
        <w:t xml:space="preserve">- </w:t>
      </w:r>
      <w:r w:rsidR="003A4E2E">
        <w:rPr>
          <w:rFonts w:ascii="Arial" w:hAnsi="Arial" w:cs="Arial"/>
          <w:sz w:val="24"/>
        </w:rPr>
        <w:t>l’art. 45, comma 2, dello Statuto comunale</w:t>
      </w:r>
      <w:r w:rsidR="00D55821" w:rsidRPr="003A4E2E">
        <w:rPr>
          <w:rFonts w:ascii="Arial" w:hAnsi="Arial" w:cs="Arial"/>
          <w:sz w:val="24"/>
        </w:rPr>
        <w:t>, che prevede la doppia pubblicazione per gli atti normativi di natura regolamentare, e precisamente: “</w:t>
      </w:r>
      <w:r w:rsidR="00D55821" w:rsidRPr="003A4E2E">
        <w:rPr>
          <w:rFonts w:ascii="Arial" w:hAnsi="Arial" w:cs="Arial"/>
          <w:i/>
          <w:sz w:val="24"/>
        </w:rPr>
        <w:t>I regolamenti, una volta adottati con deliberazione consiliare divenuta esecutiva ai sensi di legge, sono ulteriormente pubblicati mediante affissione all'albo pretorio per 15 giorni consecutivi ed entrano in vigore immediatamente dopo l'ultimo giorno di pubblicazione, salvo diversa determinazione del Consiglio</w:t>
      </w:r>
      <w:r w:rsidR="00D55821" w:rsidRPr="003A4E2E">
        <w:rPr>
          <w:rFonts w:ascii="Arial" w:hAnsi="Arial" w:cs="Arial"/>
          <w:i/>
          <w:spacing w:val="-2"/>
          <w:sz w:val="24"/>
        </w:rPr>
        <w:t xml:space="preserve"> </w:t>
      </w:r>
      <w:r w:rsidR="00D55821" w:rsidRPr="003A4E2E">
        <w:rPr>
          <w:rFonts w:ascii="Arial" w:hAnsi="Arial" w:cs="Arial"/>
          <w:i/>
          <w:sz w:val="24"/>
        </w:rPr>
        <w:t>comunale;</w:t>
      </w:r>
    </w:p>
    <w:p w:rsidR="00D55821" w:rsidRDefault="00CD624C" w:rsidP="003A4E2E">
      <w:pPr>
        <w:pStyle w:val="TableParagraph"/>
        <w:tabs>
          <w:tab w:val="left" w:pos="249"/>
        </w:tabs>
        <w:spacing w:before="32"/>
        <w:ind w:left="851" w:right="566"/>
        <w:jc w:val="both"/>
        <w:rPr>
          <w:rFonts w:ascii="Arial" w:hAnsi="Arial" w:cs="Arial"/>
          <w:sz w:val="24"/>
        </w:rPr>
      </w:pPr>
      <w:r>
        <w:rPr>
          <w:rFonts w:ascii="Arial" w:hAnsi="Arial" w:cs="Arial"/>
          <w:sz w:val="24"/>
        </w:rPr>
        <w:t xml:space="preserve">- </w:t>
      </w:r>
      <w:r w:rsidR="00D55821" w:rsidRPr="003A4E2E">
        <w:rPr>
          <w:rFonts w:ascii="Arial" w:hAnsi="Arial" w:cs="Arial"/>
          <w:sz w:val="24"/>
        </w:rPr>
        <w:t>l’art. 239</w:t>
      </w:r>
      <w:r w:rsidR="00A06138">
        <w:rPr>
          <w:rFonts w:ascii="Arial" w:hAnsi="Arial" w:cs="Arial"/>
          <w:sz w:val="24"/>
        </w:rPr>
        <w:t xml:space="preserve"> del TUEL</w:t>
      </w:r>
      <w:r w:rsidR="00D55821" w:rsidRPr="003A4E2E">
        <w:rPr>
          <w:rFonts w:ascii="Arial" w:hAnsi="Arial" w:cs="Arial"/>
          <w:sz w:val="24"/>
        </w:rPr>
        <w:t>, che ha ampliato le funzioni dell’organo di revisione e che tale provvedimento soggiace al parere del Collegio dei Revisori dei</w:t>
      </w:r>
      <w:r w:rsidR="00D55821" w:rsidRPr="003A4E2E">
        <w:rPr>
          <w:rFonts w:ascii="Arial" w:hAnsi="Arial" w:cs="Arial"/>
          <w:spacing w:val="-4"/>
          <w:sz w:val="24"/>
        </w:rPr>
        <w:t xml:space="preserve"> </w:t>
      </w:r>
      <w:r w:rsidR="00D55821" w:rsidRPr="003A4E2E">
        <w:rPr>
          <w:rFonts w:ascii="Arial" w:hAnsi="Arial" w:cs="Arial"/>
          <w:sz w:val="24"/>
        </w:rPr>
        <w:t>Conti;</w:t>
      </w:r>
    </w:p>
    <w:p w:rsidR="00D55821" w:rsidRPr="003A4E2E" w:rsidRDefault="00CD624C" w:rsidP="003A4E2E">
      <w:pPr>
        <w:pStyle w:val="TableParagraph"/>
        <w:tabs>
          <w:tab w:val="left" w:pos="249"/>
        </w:tabs>
        <w:spacing w:before="32"/>
        <w:ind w:left="851" w:right="566"/>
        <w:rPr>
          <w:rFonts w:ascii="Arial" w:hAnsi="Arial" w:cs="Arial"/>
          <w:sz w:val="24"/>
        </w:rPr>
      </w:pPr>
      <w:r>
        <w:rPr>
          <w:rFonts w:ascii="Arial" w:hAnsi="Arial" w:cs="Arial"/>
          <w:sz w:val="24"/>
        </w:rPr>
        <w:t xml:space="preserve">- </w:t>
      </w:r>
      <w:r w:rsidR="00D55821" w:rsidRPr="003A4E2E">
        <w:rPr>
          <w:rFonts w:ascii="Arial" w:hAnsi="Arial" w:cs="Arial"/>
          <w:sz w:val="24"/>
        </w:rPr>
        <w:t>il vigente regolamento sull’ordinamento degli uffici e servizi (ROUS);</w:t>
      </w:r>
    </w:p>
    <w:p w:rsidR="00D55821" w:rsidRPr="003A4E2E" w:rsidRDefault="00CD624C" w:rsidP="003A4E2E">
      <w:pPr>
        <w:pStyle w:val="TableParagraph"/>
        <w:tabs>
          <w:tab w:val="left" w:pos="249"/>
        </w:tabs>
        <w:spacing w:before="82"/>
        <w:ind w:left="851" w:right="566"/>
        <w:rPr>
          <w:rFonts w:ascii="Arial" w:hAnsi="Arial" w:cs="Arial"/>
          <w:sz w:val="24"/>
        </w:rPr>
      </w:pPr>
      <w:r>
        <w:rPr>
          <w:rFonts w:ascii="Arial" w:hAnsi="Arial" w:cs="Arial"/>
          <w:sz w:val="24"/>
        </w:rPr>
        <w:t xml:space="preserve">- </w:t>
      </w:r>
      <w:r w:rsidR="00D55821" w:rsidRPr="003A4E2E">
        <w:rPr>
          <w:rFonts w:ascii="Arial" w:hAnsi="Arial" w:cs="Arial"/>
          <w:sz w:val="24"/>
        </w:rPr>
        <w:t>il vigente regolamento di</w:t>
      </w:r>
      <w:r w:rsidR="00D55821" w:rsidRPr="003A4E2E">
        <w:rPr>
          <w:rFonts w:ascii="Arial" w:hAnsi="Arial" w:cs="Arial"/>
          <w:spacing w:val="2"/>
          <w:sz w:val="24"/>
        </w:rPr>
        <w:t xml:space="preserve"> </w:t>
      </w:r>
      <w:r w:rsidR="00D55821" w:rsidRPr="003A4E2E">
        <w:rPr>
          <w:rFonts w:ascii="Arial" w:hAnsi="Arial" w:cs="Arial"/>
          <w:sz w:val="24"/>
        </w:rPr>
        <w:t>contabilità;</w:t>
      </w:r>
    </w:p>
    <w:p w:rsidR="00D55821" w:rsidRPr="003A4E2E" w:rsidRDefault="00CD624C" w:rsidP="003A4E2E">
      <w:pPr>
        <w:pStyle w:val="TableParagraph"/>
        <w:spacing w:before="79"/>
        <w:ind w:left="851" w:right="566"/>
        <w:rPr>
          <w:rFonts w:ascii="Arial" w:hAnsi="Arial" w:cs="Arial"/>
          <w:sz w:val="24"/>
        </w:rPr>
      </w:pPr>
      <w:r>
        <w:rPr>
          <w:rFonts w:ascii="Arial" w:hAnsi="Arial" w:cs="Arial"/>
          <w:sz w:val="24"/>
        </w:rPr>
        <w:t xml:space="preserve">- </w:t>
      </w:r>
      <w:r w:rsidR="00D55821" w:rsidRPr="003A4E2E">
        <w:rPr>
          <w:rFonts w:ascii="Arial" w:hAnsi="Arial" w:cs="Arial"/>
          <w:sz w:val="24"/>
        </w:rPr>
        <w:t>il D. Lgs</w:t>
      </w:r>
      <w:r>
        <w:rPr>
          <w:rFonts w:ascii="Arial" w:hAnsi="Arial" w:cs="Arial"/>
          <w:sz w:val="24"/>
        </w:rPr>
        <w:t>.</w:t>
      </w:r>
      <w:r w:rsidR="00D55821" w:rsidRPr="003A4E2E">
        <w:rPr>
          <w:rFonts w:ascii="Arial" w:hAnsi="Arial" w:cs="Arial"/>
          <w:sz w:val="24"/>
        </w:rPr>
        <w:t xml:space="preserve"> 118 del 2011 e successive modifiche ed integrazioni;</w:t>
      </w:r>
    </w:p>
    <w:p w:rsidR="00D55821" w:rsidRPr="003A4E2E" w:rsidRDefault="00D55821" w:rsidP="00CD624C">
      <w:pPr>
        <w:adjustRightInd w:val="0"/>
        <w:ind w:left="851" w:right="566"/>
        <w:rPr>
          <w:rFonts w:ascii="Arial" w:hAnsi="Arial" w:cs="Arial"/>
          <w:b/>
          <w:bCs/>
        </w:rPr>
      </w:pPr>
    </w:p>
    <w:p w:rsidR="00D55821" w:rsidRDefault="00D55821" w:rsidP="00CD624C">
      <w:pPr>
        <w:adjustRightInd w:val="0"/>
        <w:ind w:left="851" w:right="566"/>
        <w:rPr>
          <w:rFonts w:ascii="Arial" w:hAnsi="Arial" w:cs="Arial"/>
        </w:rPr>
      </w:pPr>
      <w:r w:rsidRPr="003A4E2E">
        <w:rPr>
          <w:rFonts w:ascii="Arial" w:hAnsi="Arial" w:cs="Arial"/>
          <w:b/>
          <w:bCs/>
        </w:rPr>
        <w:t>Acquisito</w:t>
      </w:r>
      <w:r w:rsidRPr="003A4E2E">
        <w:rPr>
          <w:rFonts w:ascii="Arial" w:hAnsi="Arial" w:cs="Arial"/>
        </w:rPr>
        <w:t xml:space="preserve">: </w:t>
      </w:r>
    </w:p>
    <w:p w:rsidR="00CD624C" w:rsidRPr="003A4E2E" w:rsidRDefault="00CD624C" w:rsidP="00CD624C">
      <w:pPr>
        <w:adjustRightInd w:val="0"/>
        <w:ind w:left="851" w:right="566"/>
        <w:rPr>
          <w:rFonts w:ascii="Arial" w:hAnsi="Arial" w:cs="Arial"/>
        </w:rPr>
      </w:pPr>
    </w:p>
    <w:p w:rsidR="00D55821" w:rsidRPr="003A4E2E" w:rsidRDefault="00CD624C" w:rsidP="00CD624C">
      <w:pPr>
        <w:adjustRightInd w:val="0"/>
        <w:ind w:left="851" w:right="566"/>
        <w:jc w:val="both"/>
        <w:rPr>
          <w:rFonts w:ascii="Arial" w:hAnsi="Arial" w:cs="Arial"/>
          <w:sz w:val="24"/>
          <w:szCs w:val="24"/>
        </w:rPr>
      </w:pPr>
      <w:r>
        <w:rPr>
          <w:rFonts w:ascii="Arial" w:hAnsi="Arial" w:cs="Arial"/>
          <w:sz w:val="24"/>
          <w:szCs w:val="24"/>
        </w:rPr>
        <w:t xml:space="preserve">- </w:t>
      </w:r>
      <w:r w:rsidR="00D55821" w:rsidRPr="003A4E2E">
        <w:rPr>
          <w:rFonts w:ascii="Arial" w:hAnsi="Arial" w:cs="Arial"/>
          <w:sz w:val="24"/>
          <w:szCs w:val="24"/>
        </w:rPr>
        <w:t xml:space="preserve">il parere favorevole espresso dal Dirigente Responsabile </w:t>
      </w:r>
      <w:r>
        <w:rPr>
          <w:rFonts w:ascii="Arial" w:hAnsi="Arial" w:cs="Arial"/>
          <w:sz w:val="24"/>
          <w:szCs w:val="24"/>
        </w:rPr>
        <w:t>del Servizio Risorse Tributarie</w:t>
      </w:r>
      <w:r w:rsidR="00D55821" w:rsidRPr="003A4E2E">
        <w:rPr>
          <w:rFonts w:ascii="Arial" w:hAnsi="Arial" w:cs="Arial"/>
          <w:sz w:val="24"/>
          <w:szCs w:val="24"/>
        </w:rPr>
        <w:t>,  ai sensi del combinato</w:t>
      </w:r>
      <w:r>
        <w:rPr>
          <w:rFonts w:ascii="Arial" w:hAnsi="Arial" w:cs="Arial"/>
          <w:sz w:val="24"/>
          <w:szCs w:val="24"/>
        </w:rPr>
        <w:t xml:space="preserve"> disposto dell’art. 49, comma 1 -  e dell’art. 147 bis, comma 1</w:t>
      </w:r>
      <w:r w:rsidR="00D55821" w:rsidRPr="003A4E2E">
        <w:rPr>
          <w:rFonts w:ascii="Arial" w:hAnsi="Arial" w:cs="Arial"/>
          <w:sz w:val="24"/>
          <w:szCs w:val="24"/>
        </w:rPr>
        <w:t>, del D.lgs</w:t>
      </w:r>
      <w:r>
        <w:rPr>
          <w:rFonts w:ascii="Arial" w:hAnsi="Arial" w:cs="Arial"/>
          <w:sz w:val="24"/>
          <w:szCs w:val="24"/>
        </w:rPr>
        <w:t>.</w:t>
      </w:r>
      <w:r w:rsidR="00D55821" w:rsidRPr="003A4E2E">
        <w:rPr>
          <w:rFonts w:ascii="Arial" w:hAnsi="Arial" w:cs="Arial"/>
          <w:sz w:val="24"/>
          <w:szCs w:val="24"/>
        </w:rPr>
        <w:t xml:space="preserve"> 267/2000 e s.m.i., in ordine alla regolarità tecnica ed alla correttezza amministrativa della proposta di cui trattasi, nonché  il parere favorevole in ordine alla regolarità contabile, espresso dal Respons</w:t>
      </w:r>
      <w:r>
        <w:rPr>
          <w:rFonts w:ascii="Arial" w:hAnsi="Arial" w:cs="Arial"/>
          <w:sz w:val="24"/>
          <w:szCs w:val="24"/>
        </w:rPr>
        <w:t>abile del Servizio Finanziario;</w:t>
      </w:r>
    </w:p>
    <w:p w:rsidR="00D55821" w:rsidRPr="003A4E2E" w:rsidRDefault="00D55821" w:rsidP="00CD624C">
      <w:pPr>
        <w:adjustRightInd w:val="0"/>
        <w:ind w:left="851" w:right="566"/>
        <w:jc w:val="both"/>
        <w:rPr>
          <w:rFonts w:ascii="Arial" w:hAnsi="Arial" w:cs="Arial"/>
          <w:sz w:val="24"/>
          <w:szCs w:val="24"/>
        </w:rPr>
      </w:pPr>
    </w:p>
    <w:p w:rsidR="00D55821" w:rsidRDefault="00CD624C" w:rsidP="00CD624C">
      <w:pPr>
        <w:adjustRightInd w:val="0"/>
        <w:ind w:left="851" w:right="566"/>
        <w:jc w:val="both"/>
        <w:rPr>
          <w:rFonts w:ascii="Arial" w:hAnsi="Arial" w:cs="Arial"/>
          <w:sz w:val="24"/>
        </w:rPr>
      </w:pPr>
      <w:r>
        <w:rPr>
          <w:rFonts w:ascii="Arial" w:hAnsi="Arial" w:cs="Arial"/>
          <w:sz w:val="24"/>
        </w:rPr>
        <w:t xml:space="preserve">- </w:t>
      </w:r>
      <w:r w:rsidR="00D55821" w:rsidRPr="003A4E2E">
        <w:rPr>
          <w:rFonts w:ascii="Arial" w:hAnsi="Arial" w:cs="Arial"/>
          <w:sz w:val="24"/>
        </w:rPr>
        <w:t>il parere favorevole dell’Organo di re</w:t>
      </w:r>
      <w:r>
        <w:rPr>
          <w:rFonts w:ascii="Arial" w:hAnsi="Arial" w:cs="Arial"/>
          <w:sz w:val="24"/>
        </w:rPr>
        <w:t>visione economica - finanziaria</w:t>
      </w:r>
      <w:r w:rsidR="00D55821" w:rsidRPr="003A4E2E">
        <w:rPr>
          <w:rFonts w:ascii="Arial" w:hAnsi="Arial" w:cs="Arial"/>
          <w:sz w:val="24"/>
        </w:rPr>
        <w:t>, ai sensi dell’art. 239 del D.lgs</w:t>
      </w:r>
      <w:r>
        <w:rPr>
          <w:rFonts w:ascii="Arial" w:hAnsi="Arial" w:cs="Arial"/>
          <w:sz w:val="24"/>
        </w:rPr>
        <w:t>.</w:t>
      </w:r>
      <w:r w:rsidR="00D55821" w:rsidRPr="003A4E2E">
        <w:rPr>
          <w:rFonts w:ascii="Arial" w:hAnsi="Arial" w:cs="Arial"/>
          <w:sz w:val="24"/>
        </w:rPr>
        <w:t xml:space="preserve"> n. 267/200, in ordine alla congruità, coerenza ed attendibilità contabile della proposta di cui trattasi;</w:t>
      </w:r>
    </w:p>
    <w:p w:rsidR="00CD624C" w:rsidRDefault="00CD624C" w:rsidP="00CD624C">
      <w:pPr>
        <w:adjustRightInd w:val="0"/>
        <w:ind w:left="851" w:right="566"/>
        <w:jc w:val="both"/>
        <w:rPr>
          <w:rFonts w:ascii="Arial" w:hAnsi="Arial" w:cs="Arial"/>
          <w:sz w:val="24"/>
        </w:rPr>
      </w:pPr>
    </w:p>
    <w:p w:rsidR="00CD624C" w:rsidRDefault="00CD624C" w:rsidP="00CD624C">
      <w:pPr>
        <w:adjustRightInd w:val="0"/>
        <w:ind w:left="851" w:right="566"/>
        <w:jc w:val="both"/>
        <w:rPr>
          <w:rFonts w:ascii="Arial" w:hAnsi="Arial" w:cs="Arial"/>
          <w:sz w:val="24"/>
        </w:rPr>
      </w:pPr>
    </w:p>
    <w:p w:rsidR="00CD624C" w:rsidRPr="003A4E2E" w:rsidRDefault="00CD624C" w:rsidP="00CD624C">
      <w:pPr>
        <w:adjustRightInd w:val="0"/>
        <w:ind w:left="851" w:right="566"/>
        <w:jc w:val="both"/>
        <w:rPr>
          <w:rFonts w:ascii="Arial" w:hAnsi="Arial" w:cs="Arial"/>
          <w:sz w:val="24"/>
        </w:rPr>
      </w:pPr>
    </w:p>
    <w:p w:rsidR="00D55821" w:rsidRPr="003A4E2E" w:rsidRDefault="00D55821" w:rsidP="00CD624C">
      <w:pPr>
        <w:pStyle w:val="TableParagraph"/>
        <w:spacing w:before="79"/>
        <w:ind w:left="851" w:right="566"/>
        <w:jc w:val="both"/>
        <w:rPr>
          <w:rFonts w:ascii="Arial" w:hAnsi="Arial" w:cs="Arial"/>
          <w:sz w:val="24"/>
        </w:rPr>
      </w:pPr>
      <w:r w:rsidRPr="003A4E2E">
        <w:rPr>
          <w:rFonts w:ascii="Arial" w:hAnsi="Arial" w:cs="Arial"/>
          <w:b/>
          <w:sz w:val="24"/>
        </w:rPr>
        <w:t xml:space="preserve">Sentite </w:t>
      </w:r>
      <w:smartTag w:uri="urn:schemas-microsoft-com:office:smarttags" w:element="PersonName">
        <w:smartTagPr>
          <w:attr w:name="ProductID" w:val="la Giunta Comunale"/>
        </w:smartTagPr>
        <w:r w:rsidRPr="003A4E2E">
          <w:rPr>
            <w:rFonts w:ascii="Arial" w:hAnsi="Arial" w:cs="Arial"/>
            <w:sz w:val="24"/>
          </w:rPr>
          <w:t>la Giunta Comunale</w:t>
        </w:r>
      </w:smartTag>
      <w:r w:rsidRPr="003A4E2E">
        <w:rPr>
          <w:rFonts w:ascii="Arial" w:hAnsi="Arial" w:cs="Arial"/>
          <w:sz w:val="24"/>
        </w:rPr>
        <w:t xml:space="preserve"> e la 1^ Commissione Consiliare;</w:t>
      </w:r>
    </w:p>
    <w:p w:rsidR="00D55821" w:rsidRPr="003A4E2E" w:rsidRDefault="00D55821" w:rsidP="003A4E2E">
      <w:pPr>
        <w:pStyle w:val="TableParagraph"/>
        <w:spacing w:before="9"/>
        <w:ind w:right="566"/>
        <w:rPr>
          <w:rFonts w:ascii="Arial" w:hAnsi="Arial" w:cs="Arial"/>
          <w:sz w:val="27"/>
        </w:rPr>
      </w:pPr>
    </w:p>
    <w:p w:rsidR="00D55821" w:rsidRPr="003A4E2E" w:rsidRDefault="00D55821" w:rsidP="00CD624C">
      <w:pPr>
        <w:pStyle w:val="TableParagraph"/>
        <w:ind w:left="851" w:right="566"/>
        <w:jc w:val="center"/>
        <w:rPr>
          <w:rFonts w:ascii="Arial" w:hAnsi="Arial" w:cs="Arial"/>
          <w:b/>
          <w:sz w:val="24"/>
        </w:rPr>
      </w:pPr>
      <w:r w:rsidRPr="003A4E2E">
        <w:rPr>
          <w:rFonts w:ascii="Arial" w:hAnsi="Arial" w:cs="Arial"/>
          <w:b/>
          <w:sz w:val="24"/>
        </w:rPr>
        <w:t>DELIBERA</w:t>
      </w:r>
    </w:p>
    <w:p w:rsidR="00D55821" w:rsidRPr="003A4E2E" w:rsidRDefault="00D55821" w:rsidP="003A4E2E">
      <w:pPr>
        <w:pStyle w:val="TableParagraph"/>
        <w:ind w:left="3857" w:right="566"/>
        <w:jc w:val="center"/>
        <w:rPr>
          <w:rFonts w:ascii="Arial" w:hAnsi="Arial" w:cs="Arial"/>
          <w:b/>
          <w:sz w:val="24"/>
        </w:rPr>
      </w:pPr>
    </w:p>
    <w:p w:rsidR="00D55821" w:rsidRPr="003A4E2E" w:rsidRDefault="00CD624C" w:rsidP="00CD624C">
      <w:pPr>
        <w:pStyle w:val="Paragrafoelenco"/>
        <w:tabs>
          <w:tab w:val="left" w:pos="974"/>
        </w:tabs>
        <w:spacing w:before="79" w:line="240" w:lineRule="auto"/>
        <w:ind w:left="824" w:right="566" w:firstLine="0"/>
        <w:jc w:val="both"/>
        <w:rPr>
          <w:rFonts w:ascii="Arial" w:hAnsi="Arial" w:cs="Arial"/>
        </w:rPr>
      </w:pPr>
      <w:r>
        <w:rPr>
          <w:rFonts w:ascii="Arial" w:hAnsi="Arial" w:cs="Arial"/>
          <w:sz w:val="24"/>
          <w:szCs w:val="24"/>
        </w:rPr>
        <w:t>a</w:t>
      </w:r>
      <w:r w:rsidR="00D55821" w:rsidRPr="003A4E2E">
        <w:rPr>
          <w:rFonts w:ascii="Arial" w:hAnsi="Arial" w:cs="Arial"/>
          <w:sz w:val="24"/>
          <w:szCs w:val="24"/>
        </w:rPr>
        <w:t xml:space="preserve">lla luce di quanto premesso in narrativa che qui si intende integralmente trascritto, al fine di sostenere ed agevolare ulteriormente e concretamente le strutture ricettive e le imprese del settore turistico in questa situazione di eccezionale e straordinaria emergenza, di differire, limitatamente all’anno 2021, gli obblighi dichiarativi e di riversamento dell’imposta di soggiorno relativa al secondo ed al terzo trimestre </w:t>
      </w:r>
      <w:r>
        <w:rPr>
          <w:rFonts w:ascii="Arial" w:hAnsi="Arial" w:cs="Arial"/>
          <w:sz w:val="24"/>
          <w:szCs w:val="24"/>
        </w:rPr>
        <w:t>2021</w:t>
      </w:r>
      <w:r w:rsidR="00D55821" w:rsidRPr="003A4E2E">
        <w:rPr>
          <w:rFonts w:ascii="Arial" w:hAnsi="Arial" w:cs="Arial"/>
          <w:sz w:val="24"/>
          <w:szCs w:val="24"/>
        </w:rPr>
        <w:t xml:space="preserve">, </w:t>
      </w:r>
      <w:r w:rsidR="00D55821" w:rsidRPr="003A4E2E">
        <w:rPr>
          <w:rFonts w:ascii="Arial" w:hAnsi="Arial" w:cs="Arial"/>
          <w:b/>
          <w:sz w:val="24"/>
          <w:szCs w:val="24"/>
        </w:rPr>
        <w:t>al 15 novembre  2021</w:t>
      </w:r>
      <w:r w:rsidR="00D55821" w:rsidRPr="003A4E2E">
        <w:rPr>
          <w:rFonts w:ascii="Arial" w:hAnsi="Arial" w:cs="Arial"/>
          <w:sz w:val="24"/>
          <w:szCs w:val="24"/>
        </w:rPr>
        <w:t xml:space="preserve">, modificando, come da prospetto di seguito riportato, l’art. 7 , comma 3 bis , del vigente regolamento dell’imposta di soggiorno : </w:t>
      </w:r>
    </w:p>
    <w:p w:rsidR="00D55821" w:rsidRPr="003A4E2E" w:rsidRDefault="00D55821" w:rsidP="003A4E2E">
      <w:pPr>
        <w:pStyle w:val="Paragrafoelenco"/>
        <w:tabs>
          <w:tab w:val="left" w:pos="974"/>
        </w:tabs>
        <w:spacing w:before="79" w:line="240" w:lineRule="auto"/>
        <w:ind w:right="566"/>
        <w:jc w:val="both"/>
        <w:rPr>
          <w:rFonts w:ascii="Arial" w:hAnsi="Arial" w:cs="Arial"/>
          <w:sz w:val="24"/>
          <w:szCs w:val="24"/>
        </w:rPr>
      </w:pPr>
    </w:p>
    <w:p w:rsidR="00D55821" w:rsidRPr="003A4E2E" w:rsidRDefault="00D55821" w:rsidP="00CE1822">
      <w:pPr>
        <w:pStyle w:val="Paragrafoelenco"/>
        <w:tabs>
          <w:tab w:val="left" w:pos="974"/>
        </w:tabs>
        <w:spacing w:before="79" w:line="240" w:lineRule="auto"/>
        <w:ind w:right="684"/>
        <w:jc w:val="both"/>
        <w:rPr>
          <w:rFonts w:ascii="Arial" w:hAnsi="Arial" w:cs="Arial"/>
        </w:rPr>
      </w:pPr>
    </w:p>
    <w:tbl>
      <w:tblPr>
        <w:tblW w:w="8499"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247"/>
        <w:gridCol w:w="4252"/>
      </w:tblGrid>
      <w:tr w:rsidR="00D55821" w:rsidRPr="003A4E2E" w:rsidTr="000655EB">
        <w:trPr>
          <w:trHeight w:val="275"/>
        </w:trPr>
        <w:tc>
          <w:tcPr>
            <w:tcW w:w="4247" w:type="dxa"/>
            <w:tcBorders>
              <w:bottom w:val="single" w:sz="4" w:space="0" w:color="000009"/>
              <w:right w:val="single" w:sz="4" w:space="0" w:color="000009"/>
            </w:tcBorders>
          </w:tcPr>
          <w:p w:rsidR="00D55821" w:rsidRPr="003A4E2E" w:rsidRDefault="00CD624C" w:rsidP="00743770">
            <w:pPr>
              <w:pStyle w:val="TableParagraph"/>
              <w:spacing w:line="256" w:lineRule="exact"/>
              <w:ind w:left="108"/>
              <w:rPr>
                <w:rFonts w:ascii="Arial" w:hAnsi="Arial" w:cs="Arial"/>
                <w:sz w:val="24"/>
                <w:lang w:val="en-US"/>
              </w:rPr>
            </w:pPr>
            <w:r>
              <w:rPr>
                <w:rFonts w:ascii="Arial" w:hAnsi="Arial" w:cs="Arial"/>
                <w:sz w:val="24"/>
                <w:lang w:val="en-US"/>
              </w:rPr>
              <w:t>Art. 7 Obblighi (</w:t>
            </w:r>
            <w:r w:rsidR="00D55821" w:rsidRPr="003A4E2E">
              <w:rPr>
                <w:rFonts w:ascii="Arial" w:hAnsi="Arial" w:cs="Arial"/>
                <w:sz w:val="24"/>
                <w:lang w:val="en-US"/>
              </w:rPr>
              <w:t>ante modifiche)</w:t>
            </w:r>
          </w:p>
        </w:tc>
        <w:tc>
          <w:tcPr>
            <w:tcW w:w="4252" w:type="dxa"/>
            <w:tcBorders>
              <w:left w:val="single" w:sz="4" w:space="0" w:color="000009"/>
              <w:bottom w:val="single" w:sz="4" w:space="0" w:color="000009"/>
            </w:tcBorders>
          </w:tcPr>
          <w:p w:rsidR="00D55821" w:rsidRPr="003A4E2E" w:rsidRDefault="00CD624C" w:rsidP="00743770">
            <w:pPr>
              <w:pStyle w:val="TableParagraph"/>
              <w:spacing w:line="256" w:lineRule="exact"/>
              <w:ind w:left="107"/>
              <w:rPr>
                <w:rFonts w:ascii="Arial" w:hAnsi="Arial" w:cs="Arial"/>
                <w:sz w:val="24"/>
                <w:lang w:val="en-US"/>
              </w:rPr>
            </w:pPr>
            <w:r>
              <w:rPr>
                <w:rFonts w:ascii="Arial" w:hAnsi="Arial" w:cs="Arial"/>
                <w:b/>
                <w:sz w:val="24"/>
                <w:lang w:val="en-US"/>
              </w:rPr>
              <w:t>Art .7 Obblighi (</w:t>
            </w:r>
            <w:r w:rsidR="00D55821" w:rsidRPr="003A4E2E">
              <w:rPr>
                <w:rFonts w:ascii="Arial" w:hAnsi="Arial" w:cs="Arial"/>
                <w:b/>
                <w:sz w:val="24"/>
                <w:lang w:val="en-US"/>
              </w:rPr>
              <w:t>post modifiche</w:t>
            </w:r>
            <w:r w:rsidR="00D55821" w:rsidRPr="003A4E2E">
              <w:rPr>
                <w:rFonts w:ascii="Arial" w:hAnsi="Arial" w:cs="Arial"/>
                <w:sz w:val="24"/>
                <w:lang w:val="en-US"/>
              </w:rPr>
              <w:t>)</w:t>
            </w:r>
          </w:p>
        </w:tc>
      </w:tr>
      <w:tr w:rsidR="00D55821" w:rsidRPr="003A4E2E" w:rsidTr="000655EB">
        <w:trPr>
          <w:trHeight w:val="3863"/>
        </w:trPr>
        <w:tc>
          <w:tcPr>
            <w:tcW w:w="4247" w:type="dxa"/>
            <w:tcBorders>
              <w:top w:val="single" w:sz="4" w:space="0" w:color="000009"/>
              <w:bottom w:val="single" w:sz="4" w:space="0" w:color="000009"/>
              <w:right w:val="single" w:sz="4" w:space="0" w:color="000009"/>
            </w:tcBorders>
          </w:tcPr>
          <w:p w:rsidR="00D55821" w:rsidRPr="003A4E2E" w:rsidRDefault="00D55821" w:rsidP="008316F9">
            <w:pPr>
              <w:pStyle w:val="TableParagraph"/>
              <w:rPr>
                <w:rFonts w:ascii="Arial" w:hAnsi="Arial" w:cs="Arial"/>
                <w:sz w:val="24"/>
              </w:rPr>
            </w:pPr>
          </w:p>
          <w:p w:rsidR="00D55821" w:rsidRPr="003A4E2E" w:rsidRDefault="00D55821" w:rsidP="00743770">
            <w:pPr>
              <w:pStyle w:val="TableParagraph"/>
              <w:spacing w:before="3"/>
              <w:rPr>
                <w:rFonts w:ascii="Arial" w:hAnsi="Arial" w:cs="Arial"/>
                <w:sz w:val="23"/>
              </w:rPr>
            </w:pPr>
          </w:p>
          <w:p w:rsidR="00D55821" w:rsidRPr="003A4E2E" w:rsidRDefault="00D55821" w:rsidP="00743770">
            <w:pPr>
              <w:pStyle w:val="TableParagraph"/>
              <w:ind w:left="107"/>
              <w:jc w:val="both"/>
              <w:rPr>
                <w:rFonts w:ascii="Arial" w:hAnsi="Arial" w:cs="Arial"/>
                <w:i/>
                <w:sz w:val="24"/>
              </w:rPr>
            </w:pPr>
            <w:r w:rsidRPr="003A4E2E">
              <w:rPr>
                <w:rFonts w:ascii="Arial" w:hAnsi="Arial" w:cs="Arial"/>
                <w:i/>
                <w:sz w:val="24"/>
              </w:rPr>
              <w:t>Omissis i commi</w:t>
            </w:r>
            <w:r w:rsidRPr="003A4E2E">
              <w:rPr>
                <w:rFonts w:ascii="Arial" w:hAnsi="Arial" w:cs="Arial"/>
                <w:i/>
                <w:spacing w:val="58"/>
                <w:sz w:val="24"/>
              </w:rPr>
              <w:t xml:space="preserve"> </w:t>
            </w:r>
            <w:r w:rsidRPr="003A4E2E">
              <w:rPr>
                <w:rFonts w:ascii="Arial" w:hAnsi="Arial" w:cs="Arial"/>
                <w:i/>
                <w:sz w:val="24"/>
              </w:rPr>
              <w:t>precedenti</w:t>
            </w:r>
          </w:p>
          <w:p w:rsidR="00D55821" w:rsidRPr="003A4E2E" w:rsidRDefault="00D55821" w:rsidP="007E1CFC">
            <w:pPr>
              <w:pStyle w:val="TableParagraph"/>
              <w:rPr>
                <w:rFonts w:ascii="Arial" w:hAnsi="Arial" w:cs="Arial"/>
                <w:sz w:val="24"/>
              </w:rPr>
            </w:pPr>
          </w:p>
          <w:p w:rsidR="00D55821" w:rsidRPr="003A4E2E" w:rsidRDefault="00D55821" w:rsidP="00743770">
            <w:pPr>
              <w:pStyle w:val="TableParagraph"/>
              <w:ind w:left="107" w:right="94"/>
              <w:jc w:val="both"/>
              <w:rPr>
                <w:rFonts w:ascii="Arial" w:hAnsi="Arial" w:cs="Arial"/>
                <w:sz w:val="24"/>
              </w:rPr>
            </w:pPr>
            <w:r w:rsidRPr="003A4E2E">
              <w:rPr>
                <w:rFonts w:ascii="Arial" w:hAnsi="Arial" w:cs="Arial"/>
                <w:b/>
                <w:sz w:val="24"/>
              </w:rPr>
              <w:t>3)bis</w:t>
            </w:r>
            <w:r w:rsidRPr="003A4E2E">
              <w:rPr>
                <w:rFonts w:ascii="Arial" w:hAnsi="Arial" w:cs="Arial"/>
                <w:sz w:val="24"/>
              </w:rPr>
              <w:t>: Limitatamente all’esercizio finanziario 2020 le dichiarazioni di cui al precedente punto 3) ,relative al primo, al secondo ed al terzo trimestre nonché il riversamento dell’imposta riscossa nei suddetti periodi, potranno essere effettuati entro il 30</w:t>
            </w:r>
            <w:r w:rsidRPr="003A4E2E">
              <w:rPr>
                <w:rFonts w:ascii="Arial" w:hAnsi="Arial" w:cs="Arial"/>
                <w:spacing w:val="-6"/>
                <w:sz w:val="24"/>
              </w:rPr>
              <w:t xml:space="preserve"> </w:t>
            </w:r>
            <w:r w:rsidRPr="003A4E2E">
              <w:rPr>
                <w:rFonts w:ascii="Arial" w:hAnsi="Arial" w:cs="Arial"/>
                <w:sz w:val="24"/>
              </w:rPr>
              <w:t>novembre.</w:t>
            </w:r>
          </w:p>
          <w:p w:rsidR="00D55821" w:rsidRPr="003A4E2E" w:rsidRDefault="00D55821" w:rsidP="007E1CFC">
            <w:pPr>
              <w:pStyle w:val="TableParagraph"/>
              <w:rPr>
                <w:rFonts w:ascii="Arial" w:hAnsi="Arial" w:cs="Arial"/>
                <w:sz w:val="24"/>
              </w:rPr>
            </w:pPr>
          </w:p>
          <w:p w:rsidR="00D55821" w:rsidRPr="003A4E2E" w:rsidRDefault="00D55821" w:rsidP="00743770">
            <w:pPr>
              <w:pStyle w:val="TableParagraph"/>
              <w:spacing w:line="264" w:lineRule="exact"/>
              <w:ind w:left="108"/>
              <w:rPr>
                <w:rFonts w:ascii="Arial" w:hAnsi="Arial" w:cs="Arial"/>
                <w:i/>
                <w:sz w:val="24"/>
                <w:lang w:val="en-US"/>
              </w:rPr>
            </w:pPr>
            <w:r w:rsidRPr="003A4E2E">
              <w:rPr>
                <w:rFonts w:ascii="Arial" w:hAnsi="Arial" w:cs="Arial"/>
                <w:i/>
                <w:sz w:val="24"/>
                <w:lang w:val="en-US"/>
              </w:rPr>
              <w:t>Omissis …i commi successivi</w:t>
            </w:r>
          </w:p>
        </w:tc>
        <w:tc>
          <w:tcPr>
            <w:tcW w:w="4252" w:type="dxa"/>
            <w:tcBorders>
              <w:top w:val="single" w:sz="4" w:space="0" w:color="000009"/>
              <w:left w:val="single" w:sz="4" w:space="0" w:color="000009"/>
              <w:bottom w:val="single" w:sz="4" w:space="0" w:color="000009"/>
            </w:tcBorders>
          </w:tcPr>
          <w:p w:rsidR="00D55821" w:rsidRPr="003A4E2E" w:rsidRDefault="00D55821" w:rsidP="008316F9">
            <w:pPr>
              <w:pStyle w:val="TableParagraph"/>
              <w:rPr>
                <w:rFonts w:ascii="Arial" w:hAnsi="Arial" w:cs="Arial"/>
                <w:sz w:val="24"/>
              </w:rPr>
            </w:pPr>
          </w:p>
          <w:p w:rsidR="00D55821" w:rsidRPr="003A4E2E" w:rsidRDefault="00D55821" w:rsidP="00743770">
            <w:pPr>
              <w:pStyle w:val="TableParagraph"/>
              <w:spacing w:before="3"/>
              <w:rPr>
                <w:rFonts w:ascii="Arial" w:hAnsi="Arial" w:cs="Arial"/>
                <w:sz w:val="23"/>
              </w:rPr>
            </w:pPr>
          </w:p>
          <w:p w:rsidR="00D55821" w:rsidRPr="003A4E2E" w:rsidRDefault="00D55821" w:rsidP="00743770">
            <w:pPr>
              <w:pStyle w:val="TableParagraph"/>
              <w:ind w:left="107"/>
              <w:jc w:val="both"/>
              <w:rPr>
                <w:rFonts w:ascii="Arial" w:hAnsi="Arial" w:cs="Arial"/>
                <w:i/>
                <w:sz w:val="24"/>
              </w:rPr>
            </w:pPr>
            <w:r w:rsidRPr="003A4E2E">
              <w:rPr>
                <w:rFonts w:ascii="Arial" w:hAnsi="Arial" w:cs="Arial"/>
                <w:i/>
                <w:sz w:val="24"/>
              </w:rPr>
              <w:t>Omissis i commi</w:t>
            </w:r>
            <w:r w:rsidRPr="003A4E2E">
              <w:rPr>
                <w:rFonts w:ascii="Arial" w:hAnsi="Arial" w:cs="Arial"/>
                <w:i/>
                <w:spacing w:val="58"/>
                <w:sz w:val="24"/>
              </w:rPr>
              <w:t xml:space="preserve"> </w:t>
            </w:r>
            <w:r w:rsidRPr="003A4E2E">
              <w:rPr>
                <w:rFonts w:ascii="Arial" w:hAnsi="Arial" w:cs="Arial"/>
                <w:i/>
                <w:sz w:val="24"/>
              </w:rPr>
              <w:t>precedenti</w:t>
            </w:r>
          </w:p>
          <w:p w:rsidR="00D55821" w:rsidRPr="003A4E2E" w:rsidRDefault="00D55821" w:rsidP="008316F9">
            <w:pPr>
              <w:pStyle w:val="TableParagraph"/>
              <w:rPr>
                <w:rFonts w:ascii="Arial" w:hAnsi="Arial" w:cs="Arial"/>
                <w:sz w:val="24"/>
              </w:rPr>
            </w:pPr>
          </w:p>
          <w:p w:rsidR="00D55821" w:rsidRPr="003A4E2E" w:rsidRDefault="00D55821" w:rsidP="00536598">
            <w:pPr>
              <w:spacing w:before="79"/>
              <w:ind w:left="141" w:right="283"/>
              <w:jc w:val="both"/>
              <w:rPr>
                <w:rFonts w:ascii="Arial" w:hAnsi="Arial" w:cs="Arial"/>
                <w:b/>
                <w:i/>
                <w:sz w:val="24"/>
              </w:rPr>
            </w:pPr>
            <w:r w:rsidRPr="003A4E2E">
              <w:rPr>
                <w:rFonts w:ascii="Arial" w:hAnsi="Arial" w:cs="Arial"/>
                <w:b/>
                <w:sz w:val="24"/>
              </w:rPr>
              <w:t>3)bis</w:t>
            </w:r>
            <w:r w:rsidRPr="003A4E2E">
              <w:rPr>
                <w:rFonts w:ascii="Arial" w:hAnsi="Arial" w:cs="Arial"/>
                <w:sz w:val="24"/>
              </w:rPr>
              <w:t>: Limitatamente all’esercizio finanziario 2020 le dichiarazioni di cui al precedente punto 3) ,relative al primo, al secondo ed al terzo trimestre nonché il riversamento dell’imposta riscossa nei suddetti periodi, potranno essere effettuati entro il 30</w:t>
            </w:r>
            <w:r w:rsidRPr="003A4E2E">
              <w:rPr>
                <w:rFonts w:ascii="Arial" w:hAnsi="Arial" w:cs="Arial"/>
                <w:spacing w:val="-6"/>
                <w:sz w:val="24"/>
              </w:rPr>
              <w:t xml:space="preserve"> </w:t>
            </w:r>
            <w:r w:rsidRPr="003A4E2E">
              <w:rPr>
                <w:rFonts w:ascii="Arial" w:hAnsi="Arial" w:cs="Arial"/>
                <w:sz w:val="24"/>
              </w:rPr>
              <w:t>novembre.</w:t>
            </w:r>
            <w:r w:rsidRPr="003A4E2E">
              <w:rPr>
                <w:rFonts w:ascii="Arial" w:hAnsi="Arial" w:cs="Arial"/>
                <w:i/>
                <w:sz w:val="24"/>
              </w:rPr>
              <w:t xml:space="preserve"> Limitatamente all’esercizio finanziario 2021 , stante  il perdurare dell’emergenza epidemiologica,la dichiarazione di cui al precedente periodo  ed il riversamento dell’ imposta di soggiorno afferente il secondo ed il terzo trimestre 2021  potranno essere effettuati entro il </w:t>
            </w:r>
            <w:r w:rsidRPr="003A4E2E">
              <w:rPr>
                <w:rFonts w:ascii="Arial" w:hAnsi="Arial" w:cs="Arial"/>
                <w:b/>
                <w:i/>
                <w:sz w:val="24"/>
              </w:rPr>
              <w:t>15 novembre 2021.</w:t>
            </w:r>
          </w:p>
          <w:p w:rsidR="00D55821" w:rsidRPr="003A4E2E" w:rsidRDefault="00D55821" w:rsidP="00CD624C">
            <w:pPr>
              <w:pStyle w:val="TableParagraph"/>
              <w:ind w:left="107" w:right="94"/>
              <w:jc w:val="both"/>
              <w:rPr>
                <w:rFonts w:ascii="Arial" w:hAnsi="Arial" w:cs="Arial"/>
                <w:sz w:val="24"/>
              </w:rPr>
            </w:pPr>
          </w:p>
          <w:p w:rsidR="00D55821" w:rsidRPr="003A4E2E" w:rsidRDefault="00D55821" w:rsidP="008316F9">
            <w:pPr>
              <w:pStyle w:val="TableParagraph"/>
              <w:rPr>
                <w:rFonts w:ascii="Arial" w:hAnsi="Arial" w:cs="Arial"/>
                <w:sz w:val="24"/>
              </w:rPr>
            </w:pPr>
          </w:p>
          <w:p w:rsidR="00D55821" w:rsidRPr="003A4E2E" w:rsidRDefault="00D55821" w:rsidP="00743770">
            <w:pPr>
              <w:pStyle w:val="TableParagraph"/>
              <w:ind w:left="107"/>
              <w:jc w:val="both"/>
              <w:rPr>
                <w:rFonts w:ascii="Arial" w:hAnsi="Arial" w:cs="Arial"/>
                <w:i/>
                <w:sz w:val="24"/>
                <w:lang w:val="en-US"/>
              </w:rPr>
            </w:pPr>
            <w:r w:rsidRPr="003A4E2E">
              <w:rPr>
                <w:rFonts w:ascii="Arial" w:hAnsi="Arial" w:cs="Arial"/>
                <w:i/>
                <w:sz w:val="24"/>
                <w:lang w:val="en-US"/>
              </w:rPr>
              <w:t>Omissis …i commi successivi</w:t>
            </w:r>
          </w:p>
        </w:tc>
      </w:tr>
    </w:tbl>
    <w:p w:rsidR="00D55821" w:rsidRDefault="00D55821" w:rsidP="007E1CFC">
      <w:pPr>
        <w:pStyle w:val="TableParagraph"/>
        <w:ind w:left="108"/>
        <w:jc w:val="both"/>
        <w:rPr>
          <w:rFonts w:ascii="Arial" w:hAnsi="Arial" w:cs="Arial"/>
          <w:b/>
          <w:sz w:val="24"/>
        </w:rPr>
      </w:pPr>
    </w:p>
    <w:p w:rsidR="000655EB" w:rsidRDefault="000655EB" w:rsidP="007E1CFC">
      <w:pPr>
        <w:pStyle w:val="TableParagraph"/>
        <w:ind w:left="108"/>
        <w:jc w:val="both"/>
        <w:rPr>
          <w:rFonts w:ascii="Arial" w:hAnsi="Arial" w:cs="Arial"/>
          <w:b/>
          <w:sz w:val="24"/>
        </w:rPr>
      </w:pPr>
    </w:p>
    <w:p w:rsidR="000655EB" w:rsidRPr="003A4E2E" w:rsidRDefault="000655EB" w:rsidP="007E1CFC">
      <w:pPr>
        <w:pStyle w:val="TableParagraph"/>
        <w:ind w:left="108"/>
        <w:jc w:val="both"/>
        <w:rPr>
          <w:rFonts w:ascii="Arial" w:hAnsi="Arial" w:cs="Arial"/>
          <w:b/>
          <w:sz w:val="24"/>
        </w:rPr>
      </w:pPr>
    </w:p>
    <w:p w:rsidR="00D55821" w:rsidRPr="003A4E2E" w:rsidRDefault="00D55821" w:rsidP="00CD624C">
      <w:pPr>
        <w:pStyle w:val="TableParagraph"/>
        <w:ind w:left="567"/>
        <w:jc w:val="both"/>
        <w:rPr>
          <w:rFonts w:ascii="Arial" w:hAnsi="Arial" w:cs="Arial"/>
          <w:sz w:val="24"/>
        </w:rPr>
      </w:pPr>
      <w:r w:rsidRPr="003A4E2E">
        <w:rPr>
          <w:rFonts w:ascii="Arial" w:hAnsi="Arial" w:cs="Arial"/>
          <w:b/>
          <w:sz w:val="24"/>
        </w:rPr>
        <w:t>di dare atto</w:t>
      </w:r>
      <w:r w:rsidRPr="003A4E2E">
        <w:rPr>
          <w:rFonts w:ascii="Arial" w:hAnsi="Arial" w:cs="Arial"/>
          <w:sz w:val="24"/>
        </w:rPr>
        <w:t>:</w:t>
      </w:r>
    </w:p>
    <w:p w:rsidR="00D55821" w:rsidRPr="003A4E2E" w:rsidRDefault="00CD624C" w:rsidP="00CD624C">
      <w:pPr>
        <w:pStyle w:val="TableParagraph"/>
        <w:tabs>
          <w:tab w:val="left" w:pos="256"/>
        </w:tabs>
        <w:spacing w:before="79"/>
        <w:ind w:left="567" w:right="94"/>
        <w:jc w:val="both"/>
        <w:rPr>
          <w:rFonts w:ascii="Arial" w:hAnsi="Arial" w:cs="Arial"/>
          <w:sz w:val="24"/>
        </w:rPr>
      </w:pPr>
      <w:r>
        <w:rPr>
          <w:rFonts w:ascii="Arial" w:hAnsi="Arial" w:cs="Arial"/>
          <w:sz w:val="24"/>
        </w:rPr>
        <w:t xml:space="preserve">- </w:t>
      </w:r>
      <w:r w:rsidR="000655EB">
        <w:rPr>
          <w:rFonts w:ascii="Arial" w:hAnsi="Arial" w:cs="Arial"/>
          <w:sz w:val="24"/>
        </w:rPr>
        <w:t>c</w:t>
      </w:r>
      <w:r w:rsidR="00D55821" w:rsidRPr="003A4E2E">
        <w:rPr>
          <w:rFonts w:ascii="Arial" w:hAnsi="Arial" w:cs="Arial"/>
          <w:sz w:val="24"/>
        </w:rPr>
        <w:t>he il presente atto n</w:t>
      </w:r>
      <w:r>
        <w:rPr>
          <w:rFonts w:ascii="Arial" w:hAnsi="Arial" w:cs="Arial"/>
          <w:sz w:val="24"/>
        </w:rPr>
        <w:t>on comporta impegno di spesa e/</w:t>
      </w:r>
      <w:r w:rsidR="00D55821" w:rsidRPr="003A4E2E">
        <w:rPr>
          <w:rFonts w:ascii="Arial" w:hAnsi="Arial" w:cs="Arial"/>
          <w:sz w:val="24"/>
        </w:rPr>
        <w:t>o riduzione di entrata e non incide sulle previsioni di</w:t>
      </w:r>
      <w:r w:rsidR="00D55821" w:rsidRPr="003A4E2E">
        <w:rPr>
          <w:rFonts w:ascii="Arial" w:hAnsi="Arial" w:cs="Arial"/>
          <w:spacing w:val="-2"/>
          <w:sz w:val="24"/>
        </w:rPr>
        <w:t xml:space="preserve"> </w:t>
      </w:r>
      <w:r w:rsidR="00D55821" w:rsidRPr="003A4E2E">
        <w:rPr>
          <w:rFonts w:ascii="Arial" w:hAnsi="Arial" w:cs="Arial"/>
          <w:sz w:val="24"/>
        </w:rPr>
        <w:t>bilancio;</w:t>
      </w:r>
    </w:p>
    <w:p w:rsidR="00D55821" w:rsidRPr="003A4E2E" w:rsidRDefault="00CD624C" w:rsidP="00CD624C">
      <w:pPr>
        <w:pStyle w:val="TableParagraph"/>
        <w:tabs>
          <w:tab w:val="left" w:pos="256"/>
        </w:tabs>
        <w:spacing w:before="84" w:line="237" w:lineRule="auto"/>
        <w:ind w:left="567" w:right="98"/>
        <w:jc w:val="both"/>
        <w:rPr>
          <w:rFonts w:ascii="Arial" w:hAnsi="Arial" w:cs="Arial"/>
          <w:sz w:val="24"/>
        </w:rPr>
      </w:pPr>
      <w:r>
        <w:rPr>
          <w:rFonts w:ascii="Arial" w:hAnsi="Arial" w:cs="Arial"/>
          <w:sz w:val="24"/>
        </w:rPr>
        <w:t xml:space="preserve">- </w:t>
      </w:r>
      <w:r w:rsidR="000655EB">
        <w:rPr>
          <w:rFonts w:ascii="Arial" w:hAnsi="Arial" w:cs="Arial"/>
          <w:sz w:val="24"/>
        </w:rPr>
        <w:t>c</w:t>
      </w:r>
      <w:r w:rsidR="00D55821" w:rsidRPr="003A4E2E">
        <w:rPr>
          <w:rFonts w:ascii="Arial" w:hAnsi="Arial" w:cs="Arial"/>
          <w:sz w:val="24"/>
        </w:rPr>
        <w:t>he il Responsabile del procedimento è la D.ssa Pierina Pellegrini, dirigente del Servizio Risorse</w:t>
      </w:r>
      <w:r w:rsidR="00D55821" w:rsidRPr="003A4E2E">
        <w:rPr>
          <w:rFonts w:ascii="Arial" w:hAnsi="Arial" w:cs="Arial"/>
          <w:spacing w:val="-2"/>
          <w:sz w:val="24"/>
        </w:rPr>
        <w:t xml:space="preserve"> </w:t>
      </w:r>
      <w:r w:rsidR="00D55821" w:rsidRPr="003A4E2E">
        <w:rPr>
          <w:rFonts w:ascii="Arial" w:hAnsi="Arial" w:cs="Arial"/>
          <w:sz w:val="24"/>
        </w:rPr>
        <w:t>Tributarie;</w:t>
      </w:r>
    </w:p>
    <w:p w:rsidR="00D55821" w:rsidRPr="003A4E2E" w:rsidRDefault="00CD624C" w:rsidP="00CD624C">
      <w:pPr>
        <w:pStyle w:val="TableParagraph"/>
        <w:tabs>
          <w:tab w:val="left" w:pos="270"/>
        </w:tabs>
        <w:spacing w:before="83"/>
        <w:ind w:left="567" w:right="99"/>
        <w:jc w:val="both"/>
        <w:rPr>
          <w:rFonts w:ascii="Arial" w:hAnsi="Arial" w:cs="Arial"/>
        </w:rPr>
      </w:pPr>
      <w:r>
        <w:rPr>
          <w:rFonts w:ascii="Arial" w:hAnsi="Arial" w:cs="Arial"/>
          <w:b/>
          <w:sz w:val="24"/>
        </w:rPr>
        <w:lastRenderedPageBreak/>
        <w:t xml:space="preserve">- </w:t>
      </w:r>
      <w:r w:rsidR="00D55821" w:rsidRPr="003A4E2E">
        <w:rPr>
          <w:rFonts w:ascii="Arial" w:hAnsi="Arial" w:cs="Arial"/>
          <w:b/>
          <w:sz w:val="24"/>
        </w:rPr>
        <w:t xml:space="preserve">di comunicare </w:t>
      </w:r>
      <w:r w:rsidR="00D55821" w:rsidRPr="003A4E2E">
        <w:rPr>
          <w:rFonts w:ascii="Arial" w:hAnsi="Arial" w:cs="Arial"/>
          <w:sz w:val="24"/>
        </w:rPr>
        <w:t>a tutte le strutture ricettive comunali ed alle associazioni maggiormente rappresentative di categoria il differimento dei termini relativi alle dichiarazione  periodiche del secondo e terzo trimestre 2021, dandone altresì adeguata diffusione sulle pagine dedicate all'imposta di cui</w:t>
      </w:r>
      <w:r w:rsidR="00D55821" w:rsidRPr="003A4E2E">
        <w:rPr>
          <w:rFonts w:ascii="Arial" w:hAnsi="Arial" w:cs="Arial"/>
          <w:spacing w:val="54"/>
          <w:sz w:val="24"/>
        </w:rPr>
        <w:t xml:space="preserve"> </w:t>
      </w:r>
      <w:r w:rsidR="00D55821" w:rsidRPr="003A4E2E">
        <w:rPr>
          <w:rFonts w:ascii="Arial" w:hAnsi="Arial" w:cs="Arial"/>
          <w:sz w:val="24"/>
        </w:rPr>
        <w:t>all'oggetto;</w:t>
      </w:r>
    </w:p>
    <w:p w:rsidR="00D55821" w:rsidRPr="003A4E2E" w:rsidRDefault="00CD624C" w:rsidP="00CD624C">
      <w:pPr>
        <w:pStyle w:val="TableParagraph"/>
        <w:tabs>
          <w:tab w:val="left" w:pos="270"/>
        </w:tabs>
        <w:spacing w:before="83"/>
        <w:ind w:left="567" w:right="99"/>
        <w:jc w:val="both"/>
        <w:rPr>
          <w:rFonts w:ascii="Arial" w:hAnsi="Arial" w:cs="Arial"/>
        </w:rPr>
      </w:pPr>
      <w:r>
        <w:rPr>
          <w:rFonts w:ascii="Arial" w:hAnsi="Arial" w:cs="Arial"/>
          <w:b/>
          <w:sz w:val="24"/>
        </w:rPr>
        <w:t xml:space="preserve">- </w:t>
      </w:r>
      <w:r w:rsidR="00D55821" w:rsidRPr="003A4E2E">
        <w:rPr>
          <w:rFonts w:ascii="Arial" w:hAnsi="Arial" w:cs="Arial"/>
          <w:b/>
          <w:sz w:val="24"/>
        </w:rPr>
        <w:t xml:space="preserve">di adempiere </w:t>
      </w:r>
      <w:r w:rsidR="00D55821" w:rsidRPr="003A4E2E">
        <w:rPr>
          <w:rFonts w:ascii="Arial" w:hAnsi="Arial" w:cs="Arial"/>
          <w:sz w:val="24"/>
        </w:rPr>
        <w:t>a tutti gli obblighi in materia di trasparenza e pubblicazione di cui al D.Lgs</w:t>
      </w:r>
      <w:r>
        <w:rPr>
          <w:rFonts w:ascii="Arial" w:hAnsi="Arial" w:cs="Arial"/>
          <w:sz w:val="24"/>
        </w:rPr>
        <w:t>.</w:t>
      </w:r>
      <w:r w:rsidR="00D55821" w:rsidRPr="003A4E2E">
        <w:rPr>
          <w:rFonts w:ascii="Arial" w:hAnsi="Arial" w:cs="Arial"/>
          <w:sz w:val="24"/>
        </w:rPr>
        <w:t xml:space="preserve"> 33/2013 ed, altresì, di procedere alla pubblicazione sul portale del federalismo del presente atto nel rispetto di quanto previsto dall’art.13, commi15</w:t>
      </w:r>
      <w:r>
        <w:rPr>
          <w:rFonts w:ascii="Arial" w:hAnsi="Arial" w:cs="Arial"/>
          <w:sz w:val="24"/>
        </w:rPr>
        <w:t xml:space="preserve"> </w:t>
      </w:r>
      <w:r w:rsidR="00D55821" w:rsidRPr="003A4E2E">
        <w:rPr>
          <w:rFonts w:ascii="Arial" w:hAnsi="Arial" w:cs="Arial"/>
          <w:sz w:val="24"/>
        </w:rPr>
        <w:t>-</w:t>
      </w:r>
      <w:r>
        <w:rPr>
          <w:rFonts w:ascii="Arial" w:hAnsi="Arial" w:cs="Arial"/>
          <w:sz w:val="24"/>
        </w:rPr>
        <w:t xml:space="preserve"> </w:t>
      </w:r>
      <w:r w:rsidR="00D55821" w:rsidRPr="003A4E2E">
        <w:rPr>
          <w:rFonts w:ascii="Arial" w:hAnsi="Arial" w:cs="Arial"/>
          <w:sz w:val="24"/>
        </w:rPr>
        <w:t>15ter del Dl.</w:t>
      </w:r>
      <w:r w:rsidR="00D55821" w:rsidRPr="003A4E2E">
        <w:rPr>
          <w:rFonts w:ascii="Arial" w:hAnsi="Arial" w:cs="Arial"/>
          <w:spacing w:val="-8"/>
          <w:sz w:val="24"/>
        </w:rPr>
        <w:t xml:space="preserve"> </w:t>
      </w:r>
      <w:r w:rsidR="00D55821" w:rsidRPr="003A4E2E">
        <w:rPr>
          <w:rFonts w:ascii="Arial" w:hAnsi="Arial" w:cs="Arial"/>
          <w:sz w:val="24"/>
        </w:rPr>
        <w:t>201/2011 e s.m.i..</w:t>
      </w:r>
    </w:p>
    <w:sectPr w:rsidR="00D55821" w:rsidRPr="003A4E2E" w:rsidSect="00D9782C">
      <w:footerReference w:type="default" r:id="rId7"/>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053D" w:rsidRDefault="00E1053D" w:rsidP="00871425">
      <w:r>
        <w:separator/>
      </w:r>
    </w:p>
  </w:endnote>
  <w:endnote w:type="continuationSeparator" w:id="1">
    <w:p w:rsidR="00E1053D" w:rsidRDefault="00E1053D" w:rsidP="008714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11344"/>
      <w:docPartObj>
        <w:docPartGallery w:val="Page Numbers (Bottom of Page)"/>
        <w:docPartUnique/>
      </w:docPartObj>
    </w:sdtPr>
    <w:sdtContent>
      <w:p w:rsidR="00871425" w:rsidRDefault="00575180">
        <w:pPr>
          <w:pStyle w:val="Pidipagina"/>
          <w:jc w:val="right"/>
        </w:pPr>
        <w:fldSimple w:instr=" PAGE   \* MERGEFORMAT ">
          <w:r w:rsidR="00536598">
            <w:rPr>
              <w:noProof/>
            </w:rPr>
            <w:t>5</w:t>
          </w:r>
        </w:fldSimple>
      </w:p>
    </w:sdtContent>
  </w:sdt>
  <w:p w:rsidR="00871425" w:rsidRDefault="00871425">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053D" w:rsidRDefault="00E1053D" w:rsidP="00871425">
      <w:r>
        <w:separator/>
      </w:r>
    </w:p>
  </w:footnote>
  <w:footnote w:type="continuationSeparator" w:id="1">
    <w:p w:rsidR="00E1053D" w:rsidRDefault="00E1053D" w:rsidP="0087142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A7F0B"/>
    <w:multiLevelType w:val="hybridMultilevel"/>
    <w:tmpl w:val="36BC5778"/>
    <w:lvl w:ilvl="0" w:tplc="182488B6">
      <w:start w:val="1"/>
      <w:numFmt w:val="lowerLetter"/>
      <w:lvlText w:val="%1)"/>
      <w:lvlJc w:val="left"/>
      <w:pPr>
        <w:ind w:left="824" w:hanging="269"/>
      </w:pPr>
      <w:rPr>
        <w:rFonts w:ascii="Times New Roman" w:eastAsia="Times New Roman" w:hAnsi="Times New Roman" w:cs="Times New Roman" w:hint="default"/>
        <w:b/>
        <w:bCs/>
        <w:w w:val="99"/>
        <w:sz w:val="24"/>
        <w:szCs w:val="24"/>
      </w:rPr>
    </w:lvl>
    <w:lvl w:ilvl="1" w:tplc="385CA068">
      <w:numFmt w:val="bullet"/>
      <w:lvlText w:val="•"/>
      <w:lvlJc w:val="left"/>
      <w:pPr>
        <w:ind w:left="1768" w:hanging="269"/>
      </w:pPr>
      <w:rPr>
        <w:rFonts w:hint="default"/>
      </w:rPr>
    </w:lvl>
    <w:lvl w:ilvl="2" w:tplc="55A63E3C">
      <w:numFmt w:val="bullet"/>
      <w:lvlText w:val="•"/>
      <w:lvlJc w:val="left"/>
      <w:pPr>
        <w:ind w:left="2716" w:hanging="269"/>
      </w:pPr>
      <w:rPr>
        <w:rFonts w:hint="default"/>
      </w:rPr>
    </w:lvl>
    <w:lvl w:ilvl="3" w:tplc="E97483C8">
      <w:numFmt w:val="bullet"/>
      <w:lvlText w:val="•"/>
      <w:lvlJc w:val="left"/>
      <w:pPr>
        <w:ind w:left="3664" w:hanging="269"/>
      </w:pPr>
      <w:rPr>
        <w:rFonts w:hint="default"/>
      </w:rPr>
    </w:lvl>
    <w:lvl w:ilvl="4" w:tplc="00A4DEE8">
      <w:numFmt w:val="bullet"/>
      <w:lvlText w:val="•"/>
      <w:lvlJc w:val="left"/>
      <w:pPr>
        <w:ind w:left="4612" w:hanging="269"/>
      </w:pPr>
      <w:rPr>
        <w:rFonts w:hint="default"/>
      </w:rPr>
    </w:lvl>
    <w:lvl w:ilvl="5" w:tplc="2B20F426">
      <w:numFmt w:val="bullet"/>
      <w:lvlText w:val="•"/>
      <w:lvlJc w:val="left"/>
      <w:pPr>
        <w:ind w:left="5560" w:hanging="269"/>
      </w:pPr>
      <w:rPr>
        <w:rFonts w:hint="default"/>
      </w:rPr>
    </w:lvl>
    <w:lvl w:ilvl="6" w:tplc="DFAA16A4">
      <w:numFmt w:val="bullet"/>
      <w:lvlText w:val="•"/>
      <w:lvlJc w:val="left"/>
      <w:pPr>
        <w:ind w:left="6508" w:hanging="269"/>
      </w:pPr>
      <w:rPr>
        <w:rFonts w:hint="default"/>
      </w:rPr>
    </w:lvl>
    <w:lvl w:ilvl="7" w:tplc="E2543B1E">
      <w:numFmt w:val="bullet"/>
      <w:lvlText w:val="•"/>
      <w:lvlJc w:val="left"/>
      <w:pPr>
        <w:ind w:left="7456" w:hanging="269"/>
      </w:pPr>
      <w:rPr>
        <w:rFonts w:hint="default"/>
      </w:rPr>
    </w:lvl>
    <w:lvl w:ilvl="8" w:tplc="3E3CCF98">
      <w:numFmt w:val="bullet"/>
      <w:lvlText w:val="•"/>
      <w:lvlJc w:val="left"/>
      <w:pPr>
        <w:ind w:left="8404" w:hanging="269"/>
      </w:pPr>
      <w:rPr>
        <w:rFonts w:hint="default"/>
      </w:rPr>
    </w:lvl>
  </w:abstractNum>
  <w:abstractNum w:abstractNumId="1">
    <w:nsid w:val="168345DE"/>
    <w:multiLevelType w:val="hybridMultilevel"/>
    <w:tmpl w:val="15246764"/>
    <w:lvl w:ilvl="0" w:tplc="F3A23C48">
      <w:numFmt w:val="bullet"/>
      <w:lvlText w:val="-"/>
      <w:lvlJc w:val="left"/>
      <w:pPr>
        <w:ind w:left="109" w:hanging="161"/>
      </w:pPr>
      <w:rPr>
        <w:rFonts w:ascii="Times New Roman" w:eastAsia="Times New Roman" w:hAnsi="Times New Roman" w:hint="default"/>
        <w:b/>
        <w:w w:val="99"/>
        <w:sz w:val="24"/>
      </w:rPr>
    </w:lvl>
    <w:lvl w:ilvl="1" w:tplc="079C5198">
      <w:numFmt w:val="bullet"/>
      <w:lvlText w:val="•"/>
      <w:lvlJc w:val="left"/>
      <w:pPr>
        <w:ind w:left="989" w:hanging="161"/>
      </w:pPr>
      <w:rPr>
        <w:rFonts w:hint="default"/>
      </w:rPr>
    </w:lvl>
    <w:lvl w:ilvl="2" w:tplc="C29698AA">
      <w:numFmt w:val="bullet"/>
      <w:lvlText w:val="•"/>
      <w:lvlJc w:val="left"/>
      <w:pPr>
        <w:ind w:left="1879" w:hanging="161"/>
      </w:pPr>
      <w:rPr>
        <w:rFonts w:hint="default"/>
      </w:rPr>
    </w:lvl>
    <w:lvl w:ilvl="3" w:tplc="61F685A2">
      <w:numFmt w:val="bullet"/>
      <w:lvlText w:val="•"/>
      <w:lvlJc w:val="left"/>
      <w:pPr>
        <w:ind w:left="2769" w:hanging="161"/>
      </w:pPr>
      <w:rPr>
        <w:rFonts w:hint="default"/>
      </w:rPr>
    </w:lvl>
    <w:lvl w:ilvl="4" w:tplc="34727ED8">
      <w:numFmt w:val="bullet"/>
      <w:lvlText w:val="•"/>
      <w:lvlJc w:val="left"/>
      <w:pPr>
        <w:ind w:left="3659" w:hanging="161"/>
      </w:pPr>
      <w:rPr>
        <w:rFonts w:hint="default"/>
      </w:rPr>
    </w:lvl>
    <w:lvl w:ilvl="5" w:tplc="93C6B7D8">
      <w:numFmt w:val="bullet"/>
      <w:lvlText w:val="•"/>
      <w:lvlJc w:val="left"/>
      <w:pPr>
        <w:ind w:left="4549" w:hanging="161"/>
      </w:pPr>
      <w:rPr>
        <w:rFonts w:hint="default"/>
      </w:rPr>
    </w:lvl>
    <w:lvl w:ilvl="6" w:tplc="799CF22C">
      <w:numFmt w:val="bullet"/>
      <w:lvlText w:val="•"/>
      <w:lvlJc w:val="left"/>
      <w:pPr>
        <w:ind w:left="5438" w:hanging="161"/>
      </w:pPr>
      <w:rPr>
        <w:rFonts w:hint="default"/>
      </w:rPr>
    </w:lvl>
    <w:lvl w:ilvl="7" w:tplc="0E621C60">
      <w:numFmt w:val="bullet"/>
      <w:lvlText w:val="•"/>
      <w:lvlJc w:val="left"/>
      <w:pPr>
        <w:ind w:left="6328" w:hanging="161"/>
      </w:pPr>
      <w:rPr>
        <w:rFonts w:hint="default"/>
      </w:rPr>
    </w:lvl>
    <w:lvl w:ilvl="8" w:tplc="144AC7EC">
      <w:numFmt w:val="bullet"/>
      <w:lvlText w:val="•"/>
      <w:lvlJc w:val="left"/>
      <w:pPr>
        <w:ind w:left="7218" w:hanging="161"/>
      </w:pPr>
      <w:rPr>
        <w:rFonts w:hint="default"/>
      </w:rPr>
    </w:lvl>
  </w:abstractNum>
  <w:abstractNum w:abstractNumId="2">
    <w:nsid w:val="30877571"/>
    <w:multiLevelType w:val="hybridMultilevel"/>
    <w:tmpl w:val="607010F0"/>
    <w:lvl w:ilvl="0" w:tplc="0CDA44E0">
      <w:numFmt w:val="bullet"/>
      <w:lvlText w:val="-"/>
      <w:lvlJc w:val="left"/>
      <w:pPr>
        <w:ind w:left="109" w:hanging="147"/>
      </w:pPr>
      <w:rPr>
        <w:rFonts w:ascii="Times New Roman" w:eastAsia="Times New Roman" w:hAnsi="Times New Roman" w:hint="default"/>
        <w:w w:val="99"/>
        <w:sz w:val="24"/>
      </w:rPr>
    </w:lvl>
    <w:lvl w:ilvl="1" w:tplc="BF56F8AE">
      <w:numFmt w:val="bullet"/>
      <w:lvlText w:val="•"/>
      <w:lvlJc w:val="left"/>
      <w:pPr>
        <w:ind w:left="989" w:hanging="147"/>
      </w:pPr>
      <w:rPr>
        <w:rFonts w:hint="default"/>
      </w:rPr>
    </w:lvl>
    <w:lvl w:ilvl="2" w:tplc="BD060548">
      <w:numFmt w:val="bullet"/>
      <w:lvlText w:val="•"/>
      <w:lvlJc w:val="left"/>
      <w:pPr>
        <w:ind w:left="1879" w:hanging="147"/>
      </w:pPr>
      <w:rPr>
        <w:rFonts w:hint="default"/>
      </w:rPr>
    </w:lvl>
    <w:lvl w:ilvl="3" w:tplc="11AC67BC">
      <w:numFmt w:val="bullet"/>
      <w:lvlText w:val="•"/>
      <w:lvlJc w:val="left"/>
      <w:pPr>
        <w:ind w:left="2769" w:hanging="147"/>
      </w:pPr>
      <w:rPr>
        <w:rFonts w:hint="default"/>
      </w:rPr>
    </w:lvl>
    <w:lvl w:ilvl="4" w:tplc="1AC2DAC4">
      <w:numFmt w:val="bullet"/>
      <w:lvlText w:val="•"/>
      <w:lvlJc w:val="left"/>
      <w:pPr>
        <w:ind w:left="3659" w:hanging="147"/>
      </w:pPr>
      <w:rPr>
        <w:rFonts w:hint="default"/>
      </w:rPr>
    </w:lvl>
    <w:lvl w:ilvl="5" w:tplc="4B8A779C">
      <w:numFmt w:val="bullet"/>
      <w:lvlText w:val="•"/>
      <w:lvlJc w:val="left"/>
      <w:pPr>
        <w:ind w:left="4549" w:hanging="147"/>
      </w:pPr>
      <w:rPr>
        <w:rFonts w:hint="default"/>
      </w:rPr>
    </w:lvl>
    <w:lvl w:ilvl="6" w:tplc="417216A4">
      <w:numFmt w:val="bullet"/>
      <w:lvlText w:val="•"/>
      <w:lvlJc w:val="left"/>
      <w:pPr>
        <w:ind w:left="5438" w:hanging="147"/>
      </w:pPr>
      <w:rPr>
        <w:rFonts w:hint="default"/>
      </w:rPr>
    </w:lvl>
    <w:lvl w:ilvl="7" w:tplc="1A0219FE">
      <w:numFmt w:val="bullet"/>
      <w:lvlText w:val="•"/>
      <w:lvlJc w:val="left"/>
      <w:pPr>
        <w:ind w:left="6328" w:hanging="147"/>
      </w:pPr>
      <w:rPr>
        <w:rFonts w:hint="default"/>
      </w:rPr>
    </w:lvl>
    <w:lvl w:ilvl="8" w:tplc="9D961E5E">
      <w:numFmt w:val="bullet"/>
      <w:lvlText w:val="•"/>
      <w:lvlJc w:val="left"/>
      <w:pPr>
        <w:ind w:left="7218" w:hanging="147"/>
      </w:pPr>
      <w:rPr>
        <w:rFonts w:hint="default"/>
      </w:rPr>
    </w:lvl>
  </w:abstractNum>
  <w:abstractNum w:abstractNumId="3">
    <w:nsid w:val="3C0D7D5D"/>
    <w:multiLevelType w:val="hybridMultilevel"/>
    <w:tmpl w:val="3558D2F6"/>
    <w:lvl w:ilvl="0" w:tplc="DC6EF39A">
      <w:numFmt w:val="bullet"/>
      <w:lvlText w:val="-"/>
      <w:lvlJc w:val="left"/>
      <w:pPr>
        <w:ind w:left="248" w:hanging="140"/>
      </w:pPr>
      <w:rPr>
        <w:rFonts w:ascii="Times New Roman" w:eastAsia="Times New Roman" w:hAnsi="Times New Roman" w:hint="default"/>
        <w:w w:val="99"/>
        <w:sz w:val="24"/>
      </w:rPr>
    </w:lvl>
    <w:lvl w:ilvl="1" w:tplc="EA50A30A">
      <w:numFmt w:val="bullet"/>
      <w:lvlText w:val="•"/>
      <w:lvlJc w:val="left"/>
      <w:pPr>
        <w:ind w:left="1115" w:hanging="140"/>
      </w:pPr>
      <w:rPr>
        <w:rFonts w:hint="default"/>
      </w:rPr>
    </w:lvl>
    <w:lvl w:ilvl="2" w:tplc="46688296">
      <w:numFmt w:val="bullet"/>
      <w:lvlText w:val="•"/>
      <w:lvlJc w:val="left"/>
      <w:pPr>
        <w:ind w:left="1991" w:hanging="140"/>
      </w:pPr>
      <w:rPr>
        <w:rFonts w:hint="default"/>
      </w:rPr>
    </w:lvl>
    <w:lvl w:ilvl="3" w:tplc="4AB80800">
      <w:numFmt w:val="bullet"/>
      <w:lvlText w:val="•"/>
      <w:lvlJc w:val="left"/>
      <w:pPr>
        <w:ind w:left="2867" w:hanging="140"/>
      </w:pPr>
      <w:rPr>
        <w:rFonts w:hint="default"/>
      </w:rPr>
    </w:lvl>
    <w:lvl w:ilvl="4" w:tplc="6116DDD6">
      <w:numFmt w:val="bullet"/>
      <w:lvlText w:val="•"/>
      <w:lvlJc w:val="left"/>
      <w:pPr>
        <w:ind w:left="3743" w:hanging="140"/>
      </w:pPr>
      <w:rPr>
        <w:rFonts w:hint="default"/>
      </w:rPr>
    </w:lvl>
    <w:lvl w:ilvl="5" w:tplc="DC960F14">
      <w:numFmt w:val="bullet"/>
      <w:lvlText w:val="•"/>
      <w:lvlJc w:val="left"/>
      <w:pPr>
        <w:ind w:left="4619" w:hanging="140"/>
      </w:pPr>
      <w:rPr>
        <w:rFonts w:hint="default"/>
      </w:rPr>
    </w:lvl>
    <w:lvl w:ilvl="6" w:tplc="F61636BC">
      <w:numFmt w:val="bullet"/>
      <w:lvlText w:val="•"/>
      <w:lvlJc w:val="left"/>
      <w:pPr>
        <w:ind w:left="5494" w:hanging="140"/>
      </w:pPr>
      <w:rPr>
        <w:rFonts w:hint="default"/>
      </w:rPr>
    </w:lvl>
    <w:lvl w:ilvl="7" w:tplc="4A3A05BE">
      <w:numFmt w:val="bullet"/>
      <w:lvlText w:val="•"/>
      <w:lvlJc w:val="left"/>
      <w:pPr>
        <w:ind w:left="6370" w:hanging="140"/>
      </w:pPr>
      <w:rPr>
        <w:rFonts w:hint="default"/>
      </w:rPr>
    </w:lvl>
    <w:lvl w:ilvl="8" w:tplc="ADBA6722">
      <w:numFmt w:val="bullet"/>
      <w:lvlText w:val="•"/>
      <w:lvlJc w:val="left"/>
      <w:pPr>
        <w:ind w:left="7246" w:hanging="140"/>
      </w:pPr>
      <w:rPr>
        <w:rFonts w:hint="default"/>
      </w:rPr>
    </w:lvl>
  </w:abstractNum>
  <w:abstractNum w:abstractNumId="4">
    <w:nsid w:val="5A9C6D5D"/>
    <w:multiLevelType w:val="hybridMultilevel"/>
    <w:tmpl w:val="9B8A67D2"/>
    <w:lvl w:ilvl="0" w:tplc="5C2A352E">
      <w:numFmt w:val="bullet"/>
      <w:lvlText w:val="-"/>
      <w:lvlJc w:val="left"/>
      <w:pPr>
        <w:ind w:left="824" w:hanging="176"/>
      </w:pPr>
      <w:rPr>
        <w:rFonts w:ascii="Times New Roman" w:eastAsia="Times New Roman" w:hAnsi="Times New Roman" w:hint="default"/>
        <w:w w:val="99"/>
        <w:sz w:val="24"/>
      </w:rPr>
    </w:lvl>
    <w:lvl w:ilvl="1" w:tplc="AB9C01F0">
      <w:numFmt w:val="bullet"/>
      <w:lvlText w:val="•"/>
      <w:lvlJc w:val="left"/>
      <w:pPr>
        <w:ind w:left="1768" w:hanging="176"/>
      </w:pPr>
      <w:rPr>
        <w:rFonts w:hint="default"/>
      </w:rPr>
    </w:lvl>
    <w:lvl w:ilvl="2" w:tplc="AD727868">
      <w:numFmt w:val="bullet"/>
      <w:lvlText w:val="•"/>
      <w:lvlJc w:val="left"/>
      <w:pPr>
        <w:ind w:left="2716" w:hanging="176"/>
      </w:pPr>
      <w:rPr>
        <w:rFonts w:hint="default"/>
      </w:rPr>
    </w:lvl>
    <w:lvl w:ilvl="3" w:tplc="CD1C4536">
      <w:numFmt w:val="bullet"/>
      <w:lvlText w:val="•"/>
      <w:lvlJc w:val="left"/>
      <w:pPr>
        <w:ind w:left="3664" w:hanging="176"/>
      </w:pPr>
      <w:rPr>
        <w:rFonts w:hint="default"/>
      </w:rPr>
    </w:lvl>
    <w:lvl w:ilvl="4" w:tplc="B986F3D8">
      <w:numFmt w:val="bullet"/>
      <w:lvlText w:val="•"/>
      <w:lvlJc w:val="left"/>
      <w:pPr>
        <w:ind w:left="4612" w:hanging="176"/>
      </w:pPr>
      <w:rPr>
        <w:rFonts w:hint="default"/>
      </w:rPr>
    </w:lvl>
    <w:lvl w:ilvl="5" w:tplc="6276BDA4">
      <w:numFmt w:val="bullet"/>
      <w:lvlText w:val="•"/>
      <w:lvlJc w:val="left"/>
      <w:pPr>
        <w:ind w:left="5560" w:hanging="176"/>
      </w:pPr>
      <w:rPr>
        <w:rFonts w:hint="default"/>
      </w:rPr>
    </w:lvl>
    <w:lvl w:ilvl="6" w:tplc="B91C0462">
      <w:numFmt w:val="bullet"/>
      <w:lvlText w:val="•"/>
      <w:lvlJc w:val="left"/>
      <w:pPr>
        <w:ind w:left="6508" w:hanging="176"/>
      </w:pPr>
      <w:rPr>
        <w:rFonts w:hint="default"/>
      </w:rPr>
    </w:lvl>
    <w:lvl w:ilvl="7" w:tplc="724A205C">
      <w:numFmt w:val="bullet"/>
      <w:lvlText w:val="•"/>
      <w:lvlJc w:val="left"/>
      <w:pPr>
        <w:ind w:left="7456" w:hanging="176"/>
      </w:pPr>
      <w:rPr>
        <w:rFonts w:hint="default"/>
      </w:rPr>
    </w:lvl>
    <w:lvl w:ilvl="8" w:tplc="ABCE7CF0">
      <w:numFmt w:val="bullet"/>
      <w:lvlText w:val="•"/>
      <w:lvlJc w:val="left"/>
      <w:pPr>
        <w:ind w:left="8404" w:hanging="176"/>
      </w:pPr>
      <w:rPr>
        <w:rFonts w:hint="default"/>
      </w:rPr>
    </w:lvl>
  </w:abstractNum>
  <w:abstractNum w:abstractNumId="5">
    <w:nsid w:val="60AA1FFF"/>
    <w:multiLevelType w:val="hybridMultilevel"/>
    <w:tmpl w:val="584E444E"/>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283"/>
  <w:characterSpacingControl w:val="doNotCompress"/>
  <w:footnotePr>
    <w:footnote w:id="0"/>
    <w:footnote w:id="1"/>
  </w:footnotePr>
  <w:endnotePr>
    <w:endnote w:id="0"/>
    <w:endnote w:id="1"/>
  </w:endnotePr>
  <w:compat/>
  <w:rsids>
    <w:rsidRoot w:val="007E1CFC"/>
    <w:rsid w:val="00015FCA"/>
    <w:rsid w:val="000655EB"/>
    <w:rsid w:val="000A36E8"/>
    <w:rsid w:val="001C6458"/>
    <w:rsid w:val="002B0F75"/>
    <w:rsid w:val="003A4E2E"/>
    <w:rsid w:val="003F5572"/>
    <w:rsid w:val="00437D38"/>
    <w:rsid w:val="00465A3E"/>
    <w:rsid w:val="004A5DAB"/>
    <w:rsid w:val="004D346C"/>
    <w:rsid w:val="00536598"/>
    <w:rsid w:val="005444EC"/>
    <w:rsid w:val="00564E20"/>
    <w:rsid w:val="00575180"/>
    <w:rsid w:val="005B6B02"/>
    <w:rsid w:val="00632A24"/>
    <w:rsid w:val="00683C71"/>
    <w:rsid w:val="00700B76"/>
    <w:rsid w:val="00737C62"/>
    <w:rsid w:val="00743770"/>
    <w:rsid w:val="007D6F0C"/>
    <w:rsid w:val="007E1CFC"/>
    <w:rsid w:val="008316F9"/>
    <w:rsid w:val="00843788"/>
    <w:rsid w:val="0086281E"/>
    <w:rsid w:val="00871425"/>
    <w:rsid w:val="0087750F"/>
    <w:rsid w:val="008B487A"/>
    <w:rsid w:val="008D2B41"/>
    <w:rsid w:val="009E0D03"/>
    <w:rsid w:val="009F5EEE"/>
    <w:rsid w:val="00A06138"/>
    <w:rsid w:val="00A256E8"/>
    <w:rsid w:val="00A94E8A"/>
    <w:rsid w:val="00B213D2"/>
    <w:rsid w:val="00BD3981"/>
    <w:rsid w:val="00C43E26"/>
    <w:rsid w:val="00C74362"/>
    <w:rsid w:val="00CD624C"/>
    <w:rsid w:val="00CE1822"/>
    <w:rsid w:val="00D00F29"/>
    <w:rsid w:val="00D25DB7"/>
    <w:rsid w:val="00D4476E"/>
    <w:rsid w:val="00D55821"/>
    <w:rsid w:val="00D9782C"/>
    <w:rsid w:val="00E1053D"/>
    <w:rsid w:val="00E62BBB"/>
    <w:rsid w:val="00E9166B"/>
    <w:rsid w:val="00F040B2"/>
    <w:rsid w:val="00FA23DB"/>
    <w:rsid w:val="00FB149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E1CFC"/>
    <w:pPr>
      <w:widowControl w:val="0"/>
      <w:autoSpaceDE w:val="0"/>
      <w:autoSpaceDN w:val="0"/>
    </w:pPr>
    <w:rPr>
      <w:rFonts w:ascii="Times New Roman" w:eastAsia="Times New Roman" w:hAnsi="Times New Roman"/>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link w:val="CorpodeltestoCarattere"/>
    <w:uiPriority w:val="99"/>
    <w:rsid w:val="007E1CFC"/>
    <w:rPr>
      <w:sz w:val="24"/>
      <w:szCs w:val="24"/>
    </w:rPr>
  </w:style>
  <w:style w:type="character" w:customStyle="1" w:styleId="CorpodeltestoCarattere">
    <w:name w:val="Corpo del testo Carattere"/>
    <w:basedOn w:val="Carpredefinitoparagrafo"/>
    <w:link w:val="Corpodeltesto"/>
    <w:uiPriority w:val="99"/>
    <w:locked/>
    <w:rsid w:val="007E1CFC"/>
    <w:rPr>
      <w:rFonts w:ascii="Times New Roman" w:hAnsi="Times New Roman" w:cs="Times New Roman"/>
      <w:sz w:val="24"/>
      <w:szCs w:val="24"/>
    </w:rPr>
  </w:style>
  <w:style w:type="paragraph" w:customStyle="1" w:styleId="Heading11">
    <w:name w:val="Heading 11"/>
    <w:basedOn w:val="Normale"/>
    <w:uiPriority w:val="99"/>
    <w:rsid w:val="007E1CFC"/>
    <w:pPr>
      <w:spacing w:before="61"/>
      <w:ind w:left="824"/>
      <w:jc w:val="both"/>
      <w:outlineLvl w:val="1"/>
    </w:pPr>
    <w:rPr>
      <w:b/>
      <w:bCs/>
      <w:sz w:val="24"/>
      <w:szCs w:val="24"/>
    </w:rPr>
  </w:style>
  <w:style w:type="paragraph" w:styleId="Paragrafoelenco">
    <w:name w:val="List Paragraph"/>
    <w:basedOn w:val="Normale"/>
    <w:uiPriority w:val="99"/>
    <w:qFormat/>
    <w:rsid w:val="007E1CFC"/>
    <w:pPr>
      <w:spacing w:line="233" w:lineRule="exact"/>
      <w:ind w:left="618" w:hanging="361"/>
    </w:pPr>
  </w:style>
  <w:style w:type="table" w:customStyle="1" w:styleId="TableNormal1">
    <w:name w:val="Table Normal1"/>
    <w:uiPriority w:val="99"/>
    <w:semiHidden/>
    <w:rsid w:val="007E1CFC"/>
    <w:pPr>
      <w:widowControl w:val="0"/>
      <w:autoSpaceDE w:val="0"/>
      <w:autoSpaceDN w:val="0"/>
    </w:pPr>
    <w:rPr>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99"/>
    <w:rsid w:val="007E1CFC"/>
  </w:style>
  <w:style w:type="character" w:styleId="Enfasigrassetto">
    <w:name w:val="Strong"/>
    <w:basedOn w:val="Carpredefinitoparagrafo"/>
    <w:uiPriority w:val="99"/>
    <w:qFormat/>
    <w:locked/>
    <w:rsid w:val="00437D38"/>
    <w:rPr>
      <w:rFonts w:cs="Times New Roman"/>
      <w:b/>
      <w:bCs/>
    </w:rPr>
  </w:style>
  <w:style w:type="character" w:styleId="Enfasicorsivo">
    <w:name w:val="Emphasis"/>
    <w:basedOn w:val="Carpredefinitoparagrafo"/>
    <w:uiPriority w:val="99"/>
    <w:qFormat/>
    <w:locked/>
    <w:rsid w:val="003F5572"/>
    <w:rPr>
      <w:rFonts w:cs="Times New Roman"/>
      <w:i/>
      <w:iCs/>
    </w:rPr>
  </w:style>
  <w:style w:type="paragraph" w:styleId="Intestazione">
    <w:name w:val="header"/>
    <w:basedOn w:val="Normale"/>
    <w:link w:val="IntestazioneCarattere"/>
    <w:uiPriority w:val="99"/>
    <w:semiHidden/>
    <w:unhideWhenUsed/>
    <w:rsid w:val="0087142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871425"/>
    <w:rPr>
      <w:rFonts w:ascii="Times New Roman" w:eastAsia="Times New Roman" w:hAnsi="Times New Roman"/>
      <w:lang w:eastAsia="en-US"/>
    </w:rPr>
  </w:style>
  <w:style w:type="paragraph" w:styleId="Pidipagina">
    <w:name w:val="footer"/>
    <w:basedOn w:val="Normale"/>
    <w:link w:val="PidipaginaCarattere"/>
    <w:uiPriority w:val="99"/>
    <w:unhideWhenUsed/>
    <w:rsid w:val="00871425"/>
    <w:pPr>
      <w:tabs>
        <w:tab w:val="center" w:pos="4819"/>
        <w:tab w:val="right" w:pos="9638"/>
      </w:tabs>
    </w:pPr>
  </w:style>
  <w:style w:type="character" w:customStyle="1" w:styleId="PidipaginaCarattere">
    <w:name w:val="Piè di pagina Carattere"/>
    <w:basedOn w:val="Carpredefinitoparagrafo"/>
    <w:link w:val="Pidipagina"/>
    <w:uiPriority w:val="99"/>
    <w:rsid w:val="00871425"/>
    <w:rPr>
      <w:rFonts w:ascii="Times New Roman" w:eastAsia="Times New Roman" w:hAnsi="Times New Roman"/>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5</Pages>
  <Words>1544</Words>
  <Characters>8801</Characters>
  <Application>Microsoft Office Word</Application>
  <DocSecurity>0</DocSecurity>
  <Lines>73</Lines>
  <Paragraphs>20</Paragraphs>
  <ScaleCrop>false</ScaleCrop>
  <HeadingPairs>
    <vt:vector size="2" baseType="variant">
      <vt:variant>
        <vt:lpstr>Titolo</vt:lpstr>
      </vt:variant>
      <vt:variant>
        <vt:i4>1</vt:i4>
      </vt:variant>
    </vt:vector>
  </HeadingPairs>
  <TitlesOfParts>
    <vt:vector size="1" baseType="lpstr">
      <vt:lpstr>IL CONSIGLIO COMUNALE</vt:lpstr>
    </vt:vector>
  </TitlesOfParts>
  <Company/>
  <LinksUpToDate>false</LinksUpToDate>
  <CharactersWithSpaces>10325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CONSIGLIO COMUNALE</dc:title>
  <dc:creator>p.scanavini</dc:creator>
  <cp:lastModifiedBy>p.marzola</cp:lastModifiedBy>
  <cp:revision>12</cp:revision>
  <cp:lastPrinted>2021-04-22T06:02:00Z</cp:lastPrinted>
  <dcterms:created xsi:type="dcterms:W3CDTF">2021-04-15T07:54:00Z</dcterms:created>
  <dcterms:modified xsi:type="dcterms:W3CDTF">2021-04-22T06:04:00Z</dcterms:modified>
</cp:coreProperties>
</file>