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2382C" w:rsidRPr="0012382C" w:rsidRDefault="0012382C" w:rsidP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 w:rsidRPr="0012382C">
        <w:rPr>
          <w:b/>
          <w:color w:val="000000"/>
          <w:sz w:val="24"/>
          <w:szCs w:val="24"/>
        </w:rPr>
        <w:t>ISTRUTTORIA CONSILIARE</w:t>
      </w:r>
    </w:p>
    <w:p w:rsidR="0012382C" w:rsidRDefault="0012382C" w:rsidP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643D94" w:rsidRDefault="00D37B1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12382C">
        <w:rPr>
          <w:b/>
          <w:color w:val="000000"/>
          <w:sz w:val="24"/>
          <w:szCs w:val="24"/>
        </w:rPr>
        <w:t xml:space="preserve">Progetto della Ditta APIS FE1 Società Agricola Srl per l’autorizzazione, ai sensi del </w:t>
      </w:r>
      <w:proofErr w:type="spellStart"/>
      <w:r w:rsidRPr="0012382C">
        <w:rPr>
          <w:b/>
          <w:color w:val="000000"/>
          <w:sz w:val="24"/>
          <w:szCs w:val="24"/>
        </w:rPr>
        <w:t>D.Lgs</w:t>
      </w:r>
      <w:r w:rsidR="0012382C">
        <w:rPr>
          <w:b/>
          <w:color w:val="000000"/>
          <w:sz w:val="24"/>
          <w:szCs w:val="24"/>
        </w:rPr>
        <w:t>.</w:t>
      </w:r>
      <w:proofErr w:type="spellEnd"/>
      <w:r w:rsidRPr="0012382C">
        <w:rPr>
          <w:b/>
          <w:color w:val="000000"/>
          <w:sz w:val="24"/>
          <w:szCs w:val="24"/>
        </w:rPr>
        <w:t xml:space="preserve"> 387/2003 e </w:t>
      </w:r>
      <w:proofErr w:type="spellStart"/>
      <w:r w:rsidRPr="0012382C">
        <w:rPr>
          <w:b/>
          <w:color w:val="000000"/>
          <w:sz w:val="24"/>
          <w:szCs w:val="24"/>
        </w:rPr>
        <w:t>s.m.i.</w:t>
      </w:r>
      <w:proofErr w:type="spellEnd"/>
      <w:r w:rsidRPr="0012382C">
        <w:rPr>
          <w:b/>
          <w:color w:val="000000"/>
          <w:sz w:val="24"/>
          <w:szCs w:val="24"/>
        </w:rPr>
        <w:t xml:space="preserve">, alla realizzazione e all’esercizio dell’impianto per la produzione di </w:t>
      </w:r>
      <w:proofErr w:type="spellStart"/>
      <w:r w:rsidRPr="0012382C">
        <w:rPr>
          <w:b/>
          <w:color w:val="000000"/>
          <w:sz w:val="24"/>
          <w:szCs w:val="24"/>
        </w:rPr>
        <w:t>biometano</w:t>
      </w:r>
      <w:proofErr w:type="spellEnd"/>
      <w:r w:rsidRPr="0012382C">
        <w:rPr>
          <w:b/>
          <w:color w:val="000000"/>
          <w:sz w:val="24"/>
          <w:szCs w:val="24"/>
        </w:rPr>
        <w:t xml:space="preserve"> da sottoprodotti agricoli e reflui zootecnici di potenzialità 1.000 Sm3/ora nel Comune di Ferrara (FE), in via Ponte </w:t>
      </w:r>
      <w:proofErr w:type="spellStart"/>
      <w:r w:rsidRPr="0012382C">
        <w:rPr>
          <w:b/>
          <w:color w:val="000000"/>
          <w:sz w:val="24"/>
          <w:szCs w:val="24"/>
        </w:rPr>
        <w:t>Assa</w:t>
      </w:r>
      <w:proofErr w:type="spellEnd"/>
      <w:r w:rsidRPr="0012382C">
        <w:rPr>
          <w:b/>
          <w:color w:val="000000"/>
          <w:sz w:val="24"/>
          <w:szCs w:val="24"/>
        </w:rPr>
        <w:t xml:space="preserve"> snc, in variante al 2° POC e in deroga alle norme di RUE</w:t>
      </w:r>
      <w:r w:rsidR="0012382C">
        <w:rPr>
          <w:b/>
          <w:color w:val="000000"/>
          <w:sz w:val="24"/>
          <w:szCs w:val="24"/>
        </w:rPr>
        <w:t>.</w:t>
      </w:r>
    </w:p>
    <w:p w:rsidR="0012382C" w:rsidRP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IL CONSIGLIO COMUNALE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="00D37B1B">
        <w:rPr>
          <w:b/>
          <w:color w:val="000000"/>
          <w:sz w:val="24"/>
          <w:szCs w:val="24"/>
        </w:rPr>
        <w:t>remesso: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 w:rsidP="0012382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con delibera consiliare P.G. 21901 del 16/04/2009 è stato approvato il Piano Strutturale Comunale (PSC) comprensivo della classificazione acustica;</w:t>
      </w:r>
    </w:p>
    <w:p w:rsidR="00643D94" w:rsidRDefault="00D37B1B" w:rsidP="0012382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con delibera consiliare P.G. 39286/13 del 10/06/2013 è stato approvato il Regolamento Urbanistico Edilizio (RUE);</w:t>
      </w:r>
    </w:p>
    <w:p w:rsidR="00643D94" w:rsidRDefault="00D37B1B" w:rsidP="0012382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con delibera consiliare P.G. 139299/17 del 11/12/2017 è stato approvato il 2° Piano Operativo Comunale con valore ed effetti di variante alla classificazione acustica e con delibere </w:t>
      </w:r>
      <w:r>
        <w:rPr>
          <w:sz w:val="24"/>
          <w:szCs w:val="24"/>
        </w:rPr>
        <w:t>consiliari</w:t>
      </w:r>
      <w:r>
        <w:rPr>
          <w:color w:val="000000"/>
          <w:sz w:val="24"/>
          <w:szCs w:val="24"/>
        </w:rPr>
        <w:t xml:space="preserve"> P.G. 103773/18 del 24/09/2018 e P.G. 32267/19 del 25/03/2019 sono state rispettivamente approvate una 1^ e 2^ variante specifica al 2° Piano Operativo Comunale;</w:t>
      </w:r>
    </w:p>
    <w:p w:rsidR="00643D94" w:rsidRDefault="00D37B1B" w:rsidP="0012382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con delibere consiliari P.G. 77201/21 del 26/07/2021 e P.G. 153293/21 del 20/12/2021 sono state rispettivamente adottate una 3^ e 4^ variante specifica al 2° Piano Operativo Comunale;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="00D37B1B">
        <w:rPr>
          <w:b/>
          <w:color w:val="000000"/>
          <w:sz w:val="24"/>
          <w:szCs w:val="24"/>
        </w:rPr>
        <w:t>remesso inoltre: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in data 27/07/2021, con integrazioni in data 19/08/2021, la Ditta APIS FE1 Società Agricola Srl ha presentato istanza all’Agenzia Regionale per la prevenzione, l’ambiente e l’energia dell’Emilia Romagna, Servizio Autorizzazioni e concessioni - Unità Autorizzazione Complesse ed Energia di Ferrara (ARPAE SAC), finalizzata al rilascio dell’autorizzazione unica per la realizzazione e l’esercizio dell’impianto per la produzione di </w:t>
      </w:r>
      <w:proofErr w:type="spellStart"/>
      <w:r>
        <w:rPr>
          <w:color w:val="000000"/>
          <w:sz w:val="24"/>
          <w:szCs w:val="24"/>
        </w:rPr>
        <w:t>biometano</w:t>
      </w:r>
      <w:proofErr w:type="spellEnd"/>
      <w:r>
        <w:rPr>
          <w:color w:val="000000"/>
          <w:sz w:val="24"/>
          <w:szCs w:val="24"/>
        </w:rPr>
        <w:t xml:space="preserve"> da sottoprodotti agricoli e reflui zootecnici di potenzialità 1.000 Sm3/ora nel Comune di Ferrara (FE), in via Ponte </w:t>
      </w:r>
      <w:proofErr w:type="spellStart"/>
      <w:r>
        <w:rPr>
          <w:color w:val="000000"/>
          <w:sz w:val="24"/>
          <w:szCs w:val="24"/>
        </w:rPr>
        <w:t>Assa</w:t>
      </w:r>
      <w:proofErr w:type="spellEnd"/>
      <w:r>
        <w:rPr>
          <w:color w:val="000000"/>
          <w:sz w:val="24"/>
          <w:szCs w:val="24"/>
        </w:rPr>
        <w:t xml:space="preserve"> snc;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l’autorità competente e procedente ARPAE SAC di Ferrara, in merito all’istanza presentata, ha comunicato al Comune di Ferrara, con nota acquisita al PG 102480/2021 del 23/08/2021, l’avvio del procedimento con contestuale indizione della Conferenza dei Servizi in forma semplificata e in modalità asincrona di cui all’art. 14 bis della Legge 241/1990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</w:t>
      </w:r>
      <w:r w:rsidR="00D37B1B">
        <w:rPr>
          <w:b/>
          <w:color w:val="000000"/>
          <w:sz w:val="24"/>
          <w:szCs w:val="24"/>
        </w:rPr>
        <w:t>ilevato: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la comunicazione di avvio del procedimento di ARPAE SAC è stata pubblicata all'Albo Pretorio del Comune di Ferrara per 15 giorni consecutivi dal 17/09/2021 al 01/10/2021;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</w:t>
      </w:r>
      <w:r w:rsidR="00D37B1B">
        <w:rPr>
          <w:b/>
          <w:color w:val="000000"/>
          <w:sz w:val="24"/>
          <w:szCs w:val="24"/>
        </w:rPr>
        <w:t>ilevato inoltre che: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il Comune di Ferrara, con nota PG 115418/2021 in data 20/09/2021, ha inviato ad ARPAE e alla Provincia di Ferrara parere inerente la compatibilità agli strumenti urbanistici vigenti evidenziando difformità rispetto al PSC, POC e RUE vigenti;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</w:rPr>
        <w:t>i</w:t>
      </w:r>
      <w:r>
        <w:rPr>
          <w:color w:val="000000"/>
          <w:sz w:val="24"/>
          <w:szCs w:val="24"/>
        </w:rPr>
        <w:t>n data 20/09/2021, la ditta APIS Fe1 Società Agricola ha inviato ad ARPAE-SAC ulteriori integrazioni volontarie, assunte con nota PG 116991 del 22/09/2021, consistenti, tra le altre, di una tavola di modifica della viabilità e del progetto di connessione alla rete elettrica;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in data 21/09/2021 si è svolta la 1^ seduta della Conferenza di Servizi, nella quale, come da verbali agli atti, sono state richieste integrazioni e modifiche progettuali da parte degli Enti e uffici competenti;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con nota assunta con PG 155069 del 07/12/2021, ARPAE SAC ha trasmesso le integrazioni pervenute dalla Ditta in riferimento alle richieste effettuate dagli Enti della Conferenza, convocando altresì la Conferenza di Servizi (2° seduta) in data 20/12/2021;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alla luce delle integrazioni ricevute, e delle conseguenti modifiche progettuali, in particolare inerenti la viabilità di accesso all’impianto, che hanno comportato una modifica sostanziale alla natura della Variante urbanistica, il Servizio Qualità Edilizia Pianificazione Territoriale - U.O. Pianificazione Generale e Paesaggistica del Comune di Ferrara, con nota PG 160030/21 del 17/12/21, ha inviato parere di compatibilità urbanistica agli strumenti urbanistici comunali, in sostituzione del precedente parere PG 115418/2021, nel quale si evidenzia che:</w:t>
      </w:r>
    </w:p>
    <w:p w:rsidR="00643D94" w:rsidRDefault="00D37B1B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l’insediamento dell’impianto di </w:t>
      </w:r>
      <w:proofErr w:type="spellStart"/>
      <w:r>
        <w:rPr>
          <w:color w:val="000000"/>
          <w:sz w:val="24"/>
          <w:szCs w:val="24"/>
        </w:rPr>
        <w:t>biometano</w:t>
      </w:r>
      <w:proofErr w:type="spellEnd"/>
      <w:r>
        <w:rPr>
          <w:color w:val="000000"/>
          <w:sz w:val="24"/>
          <w:szCs w:val="24"/>
        </w:rPr>
        <w:t xml:space="preserve"> risulta in contrasto con le disposizioni contenute nell’art. </w:t>
      </w:r>
      <w:r>
        <w:rPr>
          <w:i/>
          <w:color w:val="000000"/>
          <w:sz w:val="24"/>
          <w:szCs w:val="24"/>
        </w:rPr>
        <w:t>119.11 – Distacchi tra edifici</w:t>
      </w:r>
      <w:r>
        <w:rPr>
          <w:color w:val="000000"/>
          <w:sz w:val="24"/>
          <w:szCs w:val="24"/>
        </w:rPr>
        <w:t xml:space="preserve"> delle NTA del RUE in quanto non viene rispettata la distanza minima di 300 ml dell’impianto da edifici storici, così come definiti nel Cap. IV del RUE, e di 1000ml dal Borgo Berta, territorio urbanizzato così come definito dal PSC;</w:t>
      </w:r>
    </w:p>
    <w:p w:rsidR="00643D94" w:rsidRDefault="00D37B1B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risulta necessaria la Variante al 2° POC per l’apposizione di vincolo espropriativo </w:t>
      </w:r>
      <w:r>
        <w:rPr>
          <w:sz w:val="24"/>
          <w:szCs w:val="24"/>
        </w:rPr>
        <w:t xml:space="preserve">per </w:t>
      </w:r>
      <w:r>
        <w:rPr>
          <w:color w:val="000000"/>
          <w:sz w:val="24"/>
          <w:szCs w:val="24"/>
        </w:rPr>
        <w:t>rot</w:t>
      </w:r>
      <w:r>
        <w:rPr>
          <w:sz w:val="24"/>
          <w:szCs w:val="24"/>
        </w:rPr>
        <w:t>atoria su</w:t>
      </w:r>
      <w:r>
        <w:rPr>
          <w:color w:val="000000"/>
          <w:sz w:val="24"/>
          <w:szCs w:val="24"/>
        </w:rPr>
        <w:t xml:space="preserve"> via Pomposa e per la realizzazione della rotatoria su via Ponte </w:t>
      </w:r>
      <w:proofErr w:type="spellStart"/>
      <w:r>
        <w:rPr>
          <w:color w:val="000000"/>
          <w:sz w:val="24"/>
          <w:szCs w:val="24"/>
        </w:rPr>
        <w:t>Assa</w:t>
      </w:r>
      <w:proofErr w:type="spellEnd"/>
      <w:r>
        <w:rPr>
          <w:color w:val="000000"/>
          <w:sz w:val="24"/>
          <w:szCs w:val="24"/>
        </w:rPr>
        <w:t xml:space="preserve">, interventi finalizzati ad un miglioramento della viabilità di accesso all’impianto di </w:t>
      </w:r>
      <w:proofErr w:type="spellStart"/>
      <w:r>
        <w:rPr>
          <w:color w:val="000000"/>
          <w:sz w:val="24"/>
          <w:szCs w:val="24"/>
        </w:rPr>
        <w:t>biometano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visto il punto precedente, l’approvazione del progetto di cui all’Autorizzazione Unica prevede la conformazione agli strumenti urbanistici vigenti, ai sensi della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24/2017 e </w:t>
      </w:r>
      <w:proofErr w:type="spellStart"/>
      <w:r>
        <w:rPr>
          <w:color w:val="000000"/>
          <w:sz w:val="24"/>
          <w:szCs w:val="24"/>
        </w:rPr>
        <w:t>s.m.i</w:t>
      </w:r>
      <w:proofErr w:type="spellEnd"/>
      <w:r>
        <w:rPr>
          <w:color w:val="000000"/>
          <w:sz w:val="24"/>
          <w:szCs w:val="24"/>
        </w:rPr>
        <w:t xml:space="preserve"> e rilascio di permesso in deroga ai sensi </w:t>
      </w:r>
      <w:r>
        <w:rPr>
          <w:color w:val="222222"/>
          <w:sz w:val="24"/>
          <w:szCs w:val="24"/>
          <w:highlight w:val="white"/>
        </w:rPr>
        <w:t xml:space="preserve">dell’art.20 della </w:t>
      </w:r>
      <w:proofErr w:type="spellStart"/>
      <w:r>
        <w:rPr>
          <w:color w:val="222222"/>
          <w:sz w:val="24"/>
          <w:szCs w:val="24"/>
          <w:highlight w:val="white"/>
        </w:rPr>
        <w:t>L.R.</w:t>
      </w:r>
      <w:proofErr w:type="spellEnd"/>
      <w:r>
        <w:rPr>
          <w:color w:val="222222"/>
          <w:sz w:val="24"/>
          <w:szCs w:val="24"/>
          <w:highlight w:val="white"/>
        </w:rPr>
        <w:t xml:space="preserve"> 15/13 e dell’art.31 del RUE;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data 20/12/2021 si è svolta la Conferenza di Servizi (2^ seduta) e in medesima data, con nota PG 160953 depositata agli atti, il settore Governo del Territorio ha trasmesso ad ARPAE SAC il parere di competenza;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la 2 ^ seduta della Conferenza di Servizi in data 20/12/2021 si è conclusa con una richiesta di integrazioni e chiarimenti;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 data 20/01/2022, con nota PG 6848, sono pervenute, da ARPAE SAC, le integrazioni della Ditta, che risultano adeguate sotto l’aspetto di inserimento ambientale dell’opera, ma, a seguito di tali integrazioni, è emersa una ulteriore difformità ai sensi dell’art. 119.12 del RUE – </w:t>
      </w:r>
      <w:r>
        <w:rPr>
          <w:i/>
          <w:color w:val="000000"/>
          <w:sz w:val="24"/>
          <w:szCs w:val="24"/>
        </w:rPr>
        <w:t xml:space="preserve">Distacchi dai confini di proprietà, </w:t>
      </w:r>
      <w:r>
        <w:rPr>
          <w:color w:val="000000"/>
          <w:sz w:val="24"/>
          <w:szCs w:val="24"/>
        </w:rPr>
        <w:t xml:space="preserve">inferiori ai 5 metri per il vano tecnico – cabina di consegna media tensione, localizzato nel NCT al </w:t>
      </w:r>
      <w:proofErr w:type="spellStart"/>
      <w:r>
        <w:rPr>
          <w:color w:val="000000"/>
          <w:sz w:val="24"/>
          <w:szCs w:val="24"/>
        </w:rPr>
        <w:t>fg</w:t>
      </w:r>
      <w:proofErr w:type="spellEnd"/>
      <w:r>
        <w:rPr>
          <w:color w:val="000000"/>
          <w:sz w:val="24"/>
          <w:szCs w:val="24"/>
        </w:rPr>
        <w:t>. 215 mappale 179;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="00D37B1B">
        <w:rPr>
          <w:b/>
          <w:color w:val="000000"/>
          <w:sz w:val="24"/>
          <w:szCs w:val="24"/>
        </w:rPr>
        <w:t>reso inoltre atto che: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ditta proponen</w:t>
      </w:r>
      <w:r w:rsidR="0012382C">
        <w:rPr>
          <w:color w:val="000000"/>
          <w:sz w:val="24"/>
          <w:szCs w:val="24"/>
        </w:rPr>
        <w:t xml:space="preserve">te, come opera di compensazione dell'intervento, </w:t>
      </w:r>
      <w:r>
        <w:rPr>
          <w:color w:val="000000"/>
          <w:sz w:val="24"/>
          <w:szCs w:val="24"/>
        </w:rPr>
        <w:t xml:space="preserve">ha proposto la progettazione e la realizzazione, unitamente al Comune, della ciclabile di collegamento tra il centro abitato di Villanova e l’insediamento </w:t>
      </w:r>
      <w:proofErr w:type="spellStart"/>
      <w:r>
        <w:rPr>
          <w:color w:val="000000"/>
          <w:sz w:val="24"/>
          <w:szCs w:val="24"/>
        </w:rPr>
        <w:t>produttivo-artigianale</w:t>
      </w:r>
      <w:proofErr w:type="spellEnd"/>
      <w:r>
        <w:rPr>
          <w:color w:val="000000"/>
          <w:sz w:val="24"/>
          <w:szCs w:val="24"/>
        </w:rPr>
        <w:t xml:space="preserve"> di via Ponte </w:t>
      </w:r>
      <w:proofErr w:type="spellStart"/>
      <w:r>
        <w:rPr>
          <w:color w:val="000000"/>
          <w:sz w:val="24"/>
          <w:szCs w:val="24"/>
        </w:rPr>
        <w:t>Assa</w:t>
      </w:r>
      <w:proofErr w:type="spellEnd"/>
      <w:r>
        <w:rPr>
          <w:color w:val="000000"/>
          <w:sz w:val="24"/>
          <w:szCs w:val="24"/>
        </w:rPr>
        <w:t>, per un impor</w:t>
      </w:r>
      <w:r w:rsidR="000D3725">
        <w:rPr>
          <w:color w:val="000000"/>
          <w:sz w:val="24"/>
          <w:szCs w:val="24"/>
        </w:rPr>
        <w:t>to dovuto di € 200.</w:t>
      </w:r>
      <w:r w:rsidR="0012382C">
        <w:rPr>
          <w:color w:val="000000"/>
          <w:sz w:val="24"/>
          <w:szCs w:val="24"/>
        </w:rPr>
        <w:t>00</w:t>
      </w:r>
      <w:r w:rsidR="00413585">
        <w:rPr>
          <w:color w:val="000000"/>
          <w:sz w:val="24"/>
          <w:szCs w:val="24"/>
        </w:rPr>
        <w:t>0</w:t>
      </w:r>
      <w:r w:rsidR="000D3725">
        <w:rPr>
          <w:color w:val="000000"/>
          <w:sz w:val="24"/>
          <w:szCs w:val="24"/>
        </w:rPr>
        <w:t>,00</w:t>
      </w:r>
      <w:r w:rsidR="0012382C">
        <w:rPr>
          <w:color w:val="000000"/>
          <w:sz w:val="24"/>
          <w:szCs w:val="24"/>
        </w:rPr>
        <w:t xml:space="preserve"> al netto </w:t>
      </w:r>
      <w:r>
        <w:rPr>
          <w:color w:val="000000"/>
          <w:sz w:val="24"/>
          <w:szCs w:val="24"/>
        </w:rPr>
        <w:t>dell'IVA;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</w:t>
      </w:r>
      <w:r w:rsidR="00D37B1B">
        <w:rPr>
          <w:b/>
          <w:color w:val="000000"/>
          <w:sz w:val="24"/>
          <w:szCs w:val="24"/>
        </w:rPr>
        <w:t>onsiderato: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l’art. 20 della Legge </w:t>
      </w:r>
      <w:r>
        <w:rPr>
          <w:sz w:val="24"/>
          <w:szCs w:val="24"/>
        </w:rPr>
        <w:t>R</w:t>
      </w:r>
      <w:r>
        <w:rPr>
          <w:color w:val="000000"/>
          <w:sz w:val="24"/>
          <w:szCs w:val="24"/>
        </w:rPr>
        <w:t xml:space="preserve">egionale 15/2013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 xml:space="preserve"> prevede la possibilità di rilascio di un permesso di costruire in deroga agli strumenti urbanistici esclusivamente per edifici ed impianti pubblici o di interesse pubblico, previa deliberazione del Consiglio comunale e con le modalità di cui all’art. 31 del RUE;</w:t>
      </w:r>
    </w:p>
    <w:p w:rsidR="00643D94" w:rsidRDefault="00D37B1B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che, in particolare, l’art. 20 comma 2 della Legge </w:t>
      </w:r>
      <w:r>
        <w:rPr>
          <w:sz w:val="24"/>
          <w:szCs w:val="24"/>
        </w:rPr>
        <w:t>R</w:t>
      </w:r>
      <w:r>
        <w:rPr>
          <w:color w:val="000000"/>
          <w:sz w:val="24"/>
          <w:szCs w:val="24"/>
        </w:rPr>
        <w:t xml:space="preserve">egionale 15/2013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 xml:space="preserve"> chiarisce che la deroga, nel rispetto delle norme igieniche sanitarie e di sicurezza e dei limiti inderogabili stabiliti dalle disposizioni statali e regionali, può riguardare esclusivamente le destinazioni d’uso ammissibili, la densità edilizia, l’altezza e la distanza tra i fabbricati e dai confini stabiliti dalle norme di attuazione del RUE stesso;  </w:t>
      </w:r>
    </w:p>
    <w:p w:rsidR="00643D94" w:rsidRDefault="00D37B1B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che, per quanto sopra, l’intervento in oggetto si configura come opera necessaria per raggiungere gli obiettivi della transizione energetica, ai </w:t>
      </w:r>
      <w:r w:rsidR="0012382C">
        <w:rPr>
          <w:color w:val="000000"/>
          <w:sz w:val="24"/>
          <w:szCs w:val="24"/>
        </w:rPr>
        <w:t xml:space="preserve">sensi del nuovo articolo 7-bis, </w:t>
      </w:r>
      <w:r>
        <w:rPr>
          <w:color w:val="000000"/>
          <w:sz w:val="24"/>
          <w:szCs w:val="24"/>
        </w:rPr>
        <w:t xml:space="preserve">Testo Unico Ambiente, ed è pertanto di pubblica utilità, necessità ed urgenza, e che le deroghe necessarie a tale intervento riguardano l’art 119.11 – </w:t>
      </w:r>
      <w:r>
        <w:rPr>
          <w:i/>
          <w:color w:val="000000"/>
          <w:sz w:val="24"/>
          <w:szCs w:val="24"/>
        </w:rPr>
        <w:t>Distacchi tra edifici</w:t>
      </w:r>
      <w:r>
        <w:rPr>
          <w:color w:val="000000"/>
          <w:sz w:val="24"/>
          <w:szCs w:val="24"/>
        </w:rPr>
        <w:t xml:space="preserve"> delle NTA del RUE e l’art. 119.12 del RUE – </w:t>
      </w:r>
      <w:r>
        <w:rPr>
          <w:i/>
          <w:color w:val="000000"/>
          <w:sz w:val="24"/>
          <w:szCs w:val="24"/>
        </w:rPr>
        <w:t>Distacchi dai confini di proprietà</w:t>
      </w:r>
      <w:r>
        <w:rPr>
          <w:color w:val="000000"/>
          <w:sz w:val="24"/>
          <w:szCs w:val="24"/>
        </w:rPr>
        <w:t xml:space="preserve">; </w:t>
      </w:r>
    </w:p>
    <w:p w:rsidR="00643D94" w:rsidRDefault="00D37B1B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risulta necessaria la Variante al 2</w:t>
      </w:r>
      <w:r w:rsidR="0012382C">
        <w:rPr>
          <w:sz w:val="24"/>
          <w:szCs w:val="24"/>
        </w:rPr>
        <w:t>°</w:t>
      </w:r>
      <w:r>
        <w:rPr>
          <w:color w:val="000000"/>
          <w:sz w:val="24"/>
          <w:szCs w:val="24"/>
        </w:rPr>
        <w:t xml:space="preserve"> POC per l’apposizione di vincolo espropriativo </w:t>
      </w:r>
      <w:r>
        <w:rPr>
          <w:sz w:val="24"/>
          <w:szCs w:val="24"/>
        </w:rPr>
        <w:t xml:space="preserve">per la realizzazione della rotatoria sulla strada provinciale </w:t>
      </w:r>
      <w:r>
        <w:rPr>
          <w:color w:val="000000"/>
          <w:sz w:val="24"/>
          <w:szCs w:val="24"/>
        </w:rPr>
        <w:t xml:space="preserve">via Pomposa e per la realizzazione della rotatoria su via Ponte </w:t>
      </w:r>
      <w:proofErr w:type="spellStart"/>
      <w:r>
        <w:rPr>
          <w:color w:val="000000"/>
          <w:sz w:val="24"/>
          <w:szCs w:val="24"/>
        </w:rPr>
        <w:t>Assa</w:t>
      </w:r>
      <w:proofErr w:type="spellEnd"/>
      <w:r>
        <w:rPr>
          <w:color w:val="000000"/>
          <w:sz w:val="24"/>
          <w:szCs w:val="24"/>
        </w:rPr>
        <w:t xml:space="preserve">, interventi finalizzati ad un miglioramento della viabilità di accesso all’impianto di </w:t>
      </w:r>
      <w:proofErr w:type="spellStart"/>
      <w:r>
        <w:rPr>
          <w:color w:val="000000"/>
          <w:sz w:val="24"/>
          <w:szCs w:val="24"/>
        </w:rPr>
        <w:t>biometano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il Decreto 10/09/2010 "Linee guida per l'autorizzazione degli impianti alimentati da fonti rinnovabili”, stabilisce che l’Autorizzazione unica può prevedere misure compensative, a carattere non meramente patrimoniale, su interventi di miglioramento ambientale correlati alla mitigazione degli impatti riconducibili al progetto; pertanto non si ritiene </w:t>
      </w:r>
      <w:proofErr w:type="spellStart"/>
      <w:r>
        <w:rPr>
          <w:color w:val="000000"/>
          <w:sz w:val="24"/>
          <w:szCs w:val="24"/>
        </w:rPr>
        <w:t>accoglibile</w:t>
      </w:r>
      <w:proofErr w:type="spellEnd"/>
      <w:r>
        <w:rPr>
          <w:color w:val="000000"/>
          <w:sz w:val="24"/>
          <w:szCs w:val="24"/>
        </w:rPr>
        <w:t xml:space="preserve"> la proposta sopra riportata dalla Ditta e si ritiene, altresì opportuno, che l’opera di compensazione </w:t>
      </w:r>
      <w:r>
        <w:rPr>
          <w:color w:val="000000"/>
          <w:sz w:val="24"/>
          <w:szCs w:val="24"/>
        </w:rPr>
        <w:lastRenderedPageBreak/>
        <w:t>consista in un intervento di mitigazione ambientale ad ulteriore protezione dei beni tutelati oggetto del permesso di deroga;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</w:t>
      </w:r>
      <w:r w:rsidR="00D37B1B">
        <w:rPr>
          <w:b/>
          <w:color w:val="000000"/>
          <w:sz w:val="24"/>
          <w:szCs w:val="24"/>
        </w:rPr>
        <w:t>ato atto inoltre: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l’approvazione del progetto, delle opere e degli interventi attraverso il presente procedimento amministrativo, inerente alla richiesta di Autorizzazione Unica presentata ad ARPAE in data 27/07/2021 e con le integrazioni pervenute in data 19/08/2021, in data 21/09/2021, in data </w:t>
      </w:r>
      <w:r w:rsidR="0012382C">
        <w:rPr>
          <w:color w:val="000000"/>
          <w:sz w:val="24"/>
          <w:szCs w:val="24"/>
        </w:rPr>
        <w:t>07/12/2021 e in data 20/01/2022</w:t>
      </w:r>
      <w:r>
        <w:rPr>
          <w:color w:val="000000"/>
          <w:sz w:val="24"/>
          <w:szCs w:val="24"/>
        </w:rPr>
        <w:t>, dalla Ditta APIS FE1 Società Agricola srl, consentirà di acquisire i pareri/nulla osta/determinazioni da parte degli Enti nell’ambito della Conferenza di Servizi decisoria;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risulta necessario procedere, a seguito della definizione del progetto così come integrato (ultima integrazione del 20/01/2022), all’espressione del Consiglio Comunale in merito alla variante urbanistica e alla deroga delle norme di RUE, al fine di consentire il rilascio dell’Autorizzazione Unica da parte di ARPAE SAC, ai sensi dell’art. 208 del Decreto legislativo 3 aprile 2006, n. 152, </w:t>
      </w:r>
      <w:r>
        <w:rPr>
          <w:i/>
          <w:color w:val="000000"/>
          <w:sz w:val="24"/>
          <w:szCs w:val="24"/>
        </w:rPr>
        <w:t xml:space="preserve">Norme in materia ambientale </w:t>
      </w:r>
      <w:r>
        <w:rPr>
          <w:color w:val="000000"/>
          <w:sz w:val="24"/>
          <w:szCs w:val="24"/>
        </w:rPr>
        <w:t>(T.U. Ambiente);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>che tutti i pareri richiamati sono depositati agli atti d’ufficio del Settore Governo del Territorio;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che la Commissione per la Qualità Architettonica ed il Paesaggio nella seduta del 10/02/2022 ha espresso il seguente parere: “</w:t>
      </w:r>
      <w:r>
        <w:rPr>
          <w:i/>
          <w:sz w:val="24"/>
          <w:szCs w:val="24"/>
        </w:rPr>
        <w:t xml:space="preserve">La commissione pur essendo favorevole al tipo di impianto proposto, in quanto finalizzato all’utilizzo di energia alternativa in linea con gli obiettivi di transizione energetica, esprime le seguenti perplessità: 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sz w:val="24"/>
          <w:szCs w:val="24"/>
        </w:rPr>
      </w:pPr>
      <w:r>
        <w:rPr>
          <w:i/>
          <w:sz w:val="24"/>
          <w:szCs w:val="24"/>
        </w:rPr>
        <w:t>la collocazione dell’impianto in un sito adiacente a un insediamento abitato “Borgo Berta” e a ridosso di edifici in classe 3 di valore storico significativi per tipologia, struttura e morfologia;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la povertà del progetto architettonico non rispetta i valori riconosciuti propri del territorio rurale e necessita di una mitigazione </w:t>
      </w:r>
      <w:proofErr w:type="spellStart"/>
      <w:r>
        <w:rPr>
          <w:i/>
          <w:sz w:val="24"/>
          <w:szCs w:val="24"/>
        </w:rPr>
        <w:t>tipologicamente</w:t>
      </w:r>
      <w:proofErr w:type="spellEnd"/>
      <w:r>
        <w:rPr>
          <w:i/>
          <w:sz w:val="24"/>
          <w:szCs w:val="24"/>
        </w:rPr>
        <w:t xml:space="preserve"> inidonea al paesaggio;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lo scarso studio compositivo non adeguato al contesto della pianura ferrarese e alle componenti paesaggistiche proprie del sito e delle relative zone tampone, con particolare riferimento alla qualità estetica;</w:t>
      </w:r>
    </w:p>
    <w:p w:rsidR="00643D94" w:rsidRDefault="00D37B1B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la problematica relativa alla qualità dell’abitare connessa all’importante aumento di traffico indotto dagli automezzi in transito.”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color w:val="FF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</w:t>
      </w:r>
      <w:r w:rsidR="00D37B1B">
        <w:rPr>
          <w:b/>
          <w:color w:val="000000"/>
          <w:sz w:val="24"/>
          <w:szCs w:val="24"/>
        </w:rPr>
        <w:t>isti:</w:t>
      </w: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D.P.R. 327/01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D. LGS. 387/2003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24/2017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37/2002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L. 241/1990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DM 2 aprile 1968 n. 1444;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D.P.R. 380/01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15/2013 e </w:t>
      </w:r>
      <w:proofErr w:type="spellStart"/>
      <w:r>
        <w:rPr>
          <w:color w:val="000000"/>
          <w:sz w:val="24"/>
          <w:szCs w:val="24"/>
        </w:rPr>
        <w:t>s.m.i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120/2020;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il </w:t>
      </w:r>
      <w:proofErr w:type="spellStart"/>
      <w:r>
        <w:rPr>
          <w:color w:val="000000"/>
          <w:sz w:val="24"/>
          <w:szCs w:val="24"/>
        </w:rPr>
        <w:t>D.Lgs.</w:t>
      </w:r>
      <w:proofErr w:type="spellEnd"/>
      <w:r>
        <w:rPr>
          <w:color w:val="000000"/>
          <w:sz w:val="24"/>
          <w:szCs w:val="24"/>
        </w:rPr>
        <w:t xml:space="preserve"> 267/00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gli artt. 57 e 59 della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n. 15/2013;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Regolamento Urbanistico Edilizio vigente;</w:t>
      </w:r>
    </w:p>
    <w:p w:rsidR="00643D94" w:rsidRDefault="00D37B1B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gli atti;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24"/>
          <w:szCs w:val="24"/>
        </w:rPr>
      </w:pPr>
      <w:r>
        <w:rPr>
          <w:b/>
          <w:color w:val="000000"/>
          <w:sz w:val="24"/>
          <w:szCs w:val="24"/>
        </w:rPr>
        <w:t>V</w:t>
      </w:r>
      <w:r w:rsidR="00D37B1B">
        <w:rPr>
          <w:b/>
          <w:color w:val="000000"/>
          <w:sz w:val="24"/>
          <w:szCs w:val="24"/>
        </w:rPr>
        <w:t>isti</w:t>
      </w:r>
      <w:r w:rsidR="00D37B1B">
        <w:rPr>
          <w:color w:val="000000"/>
          <w:sz w:val="24"/>
          <w:szCs w:val="24"/>
        </w:rPr>
        <w:t xml:space="preserve"> i pareri favorevoli espressi dal Dirigente del Settore Governo del Territorio proponente e dal Responsabile di Ragioneria in ordine alla regolarità contabile (art. 49 D.Lgs</w:t>
      </w:r>
      <w:proofErr w:type="spellStart"/>
      <w:r w:rsidR="00D37B1B">
        <w:rPr>
          <w:color w:val="000000"/>
          <w:sz w:val="24"/>
          <w:szCs w:val="24"/>
        </w:rPr>
        <w:t>.267/2</w:t>
      </w:r>
      <w:proofErr w:type="spellEnd"/>
      <w:r w:rsidR="00D37B1B">
        <w:rPr>
          <w:color w:val="000000"/>
          <w:sz w:val="24"/>
          <w:szCs w:val="24"/>
        </w:rPr>
        <w:t xml:space="preserve">000 e s. m. i.); 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</w:t>
      </w:r>
      <w:r w:rsidR="00D37B1B">
        <w:rPr>
          <w:b/>
          <w:color w:val="000000"/>
          <w:sz w:val="24"/>
          <w:szCs w:val="24"/>
        </w:rPr>
        <w:t>entite</w:t>
      </w:r>
      <w:r w:rsidR="00D37B1B">
        <w:rPr>
          <w:color w:val="000000"/>
          <w:sz w:val="24"/>
          <w:szCs w:val="24"/>
        </w:rPr>
        <w:t xml:space="preserve"> la Giunta</w:t>
      </w:r>
      <w:r>
        <w:rPr>
          <w:color w:val="000000"/>
          <w:sz w:val="24"/>
          <w:szCs w:val="24"/>
        </w:rPr>
        <w:t xml:space="preserve"> Comunale</w:t>
      </w:r>
      <w:r w:rsidR="00D37B1B">
        <w:rPr>
          <w:color w:val="000000"/>
          <w:sz w:val="24"/>
          <w:szCs w:val="24"/>
        </w:rPr>
        <w:t xml:space="preserve"> e la 3^ Commissione Consiliare;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DELIBERA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2382C" w:rsidRDefault="0012382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 esprimere, per le </w:t>
      </w:r>
      <w:r w:rsidR="00F212FC">
        <w:rPr>
          <w:color w:val="000000"/>
          <w:sz w:val="24"/>
          <w:szCs w:val="24"/>
        </w:rPr>
        <w:t xml:space="preserve">seguenti </w:t>
      </w:r>
      <w:r>
        <w:rPr>
          <w:color w:val="000000"/>
          <w:sz w:val="24"/>
          <w:szCs w:val="24"/>
        </w:rPr>
        <w:t xml:space="preserve">motivazioni </w:t>
      </w:r>
      <w:r w:rsidR="00F212FC"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u w:val="single"/>
        </w:rPr>
        <w:t xml:space="preserve">parere </w:t>
      </w:r>
      <w:r w:rsidR="00F212FC">
        <w:rPr>
          <w:color w:val="000000"/>
          <w:sz w:val="24"/>
          <w:szCs w:val="24"/>
          <w:u w:val="single"/>
        </w:rPr>
        <w:t>______________</w:t>
      </w:r>
      <w:r>
        <w:rPr>
          <w:color w:val="000000"/>
          <w:sz w:val="24"/>
          <w:szCs w:val="24"/>
        </w:rPr>
        <w:t xml:space="preserve"> in merito al Progetto presentato dalla Ditta APIS FE1 Società Agricola Srl per la realizzazione e l’esercizio dell’impianto per la produzione di </w:t>
      </w:r>
      <w:proofErr w:type="spellStart"/>
      <w:r>
        <w:rPr>
          <w:color w:val="000000"/>
          <w:sz w:val="24"/>
          <w:szCs w:val="24"/>
        </w:rPr>
        <w:t>biometano</w:t>
      </w:r>
      <w:proofErr w:type="spellEnd"/>
      <w:r>
        <w:rPr>
          <w:color w:val="000000"/>
          <w:sz w:val="24"/>
          <w:szCs w:val="24"/>
        </w:rPr>
        <w:t xml:space="preserve"> da sottoprodotti agricoli e reflui zootecnici di potenzialità 1.000 Sm3/ora nel Comune di Ferrara (FE), in via Ponte </w:t>
      </w:r>
      <w:proofErr w:type="spellStart"/>
      <w:r>
        <w:rPr>
          <w:color w:val="000000"/>
          <w:sz w:val="24"/>
          <w:szCs w:val="24"/>
        </w:rPr>
        <w:t>Assa</w:t>
      </w:r>
      <w:proofErr w:type="spellEnd"/>
      <w:r>
        <w:rPr>
          <w:color w:val="000000"/>
          <w:sz w:val="24"/>
          <w:szCs w:val="24"/>
        </w:rPr>
        <w:t xml:space="preserve"> snc; </w:t>
      </w: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 </w:t>
      </w:r>
      <w:r w:rsidR="00D42EB2" w:rsidRPr="00D42EB2">
        <w:rPr>
          <w:b/>
          <w:color w:val="000000"/>
          <w:sz w:val="24"/>
          <w:szCs w:val="24"/>
        </w:rPr>
        <w:t>autorizzare/non autorizzare</w:t>
      </w:r>
      <w:r>
        <w:rPr>
          <w:color w:val="000000"/>
          <w:sz w:val="24"/>
          <w:szCs w:val="24"/>
        </w:rPr>
        <w:t xml:space="preserve"> per tutte le motivazioni </w:t>
      </w:r>
      <w:r w:rsidR="00F212FC">
        <w:rPr>
          <w:color w:val="000000"/>
          <w:sz w:val="24"/>
          <w:szCs w:val="24"/>
        </w:rPr>
        <w:t xml:space="preserve">sopra </w:t>
      </w:r>
      <w:r>
        <w:rPr>
          <w:color w:val="000000"/>
          <w:sz w:val="24"/>
          <w:szCs w:val="24"/>
        </w:rPr>
        <w:t xml:space="preserve">espresse e qui integralmente richiamate, ai sensi dell’art. 20 della </w:t>
      </w:r>
      <w:proofErr w:type="spellStart"/>
      <w:r>
        <w:rPr>
          <w:color w:val="000000"/>
          <w:sz w:val="24"/>
          <w:szCs w:val="24"/>
        </w:rPr>
        <w:t>L.R.</w:t>
      </w:r>
      <w:proofErr w:type="spellEnd"/>
      <w:r>
        <w:rPr>
          <w:color w:val="000000"/>
          <w:sz w:val="24"/>
          <w:szCs w:val="24"/>
        </w:rPr>
        <w:t xml:space="preserve"> n. 15/2013 e </w:t>
      </w:r>
      <w:proofErr w:type="spellStart"/>
      <w:r>
        <w:rPr>
          <w:color w:val="000000"/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 xml:space="preserve"> e  </w:t>
      </w:r>
      <w:r>
        <w:rPr>
          <w:color w:val="222222"/>
          <w:sz w:val="24"/>
          <w:szCs w:val="24"/>
          <w:highlight w:val="white"/>
        </w:rPr>
        <w:t>dell’art. 31 del vigente RUE, il Dirigente del Settore governo del Territorio al rilascio dei permessi d</w:t>
      </w:r>
      <w:r>
        <w:rPr>
          <w:color w:val="000000"/>
          <w:sz w:val="24"/>
          <w:szCs w:val="24"/>
        </w:rPr>
        <w:t xml:space="preserve">i costruire in deroga, </w:t>
      </w:r>
      <w:r>
        <w:rPr>
          <w:color w:val="000000"/>
          <w:sz w:val="24"/>
          <w:szCs w:val="24"/>
          <w:highlight w:val="white"/>
        </w:rPr>
        <w:t>come esplicitato nella Relazione  allegato 1 e nelle seguenti Tavole allegat</w:t>
      </w:r>
      <w:r>
        <w:rPr>
          <w:sz w:val="24"/>
          <w:szCs w:val="24"/>
          <w:highlight w:val="white"/>
        </w:rPr>
        <w:t>e alla stessa:</w:t>
      </w:r>
    </w:p>
    <w:p w:rsidR="00643D94" w:rsidRDefault="00D37B1B">
      <w:pPr>
        <w:pStyle w:val="normal"/>
        <w:spacing w:before="40" w:after="40"/>
        <w:jc w:val="both"/>
        <w:rPr>
          <w:sz w:val="24"/>
          <w:szCs w:val="24"/>
          <w:highlight w:val="white"/>
        </w:rPr>
      </w:pPr>
      <w:r>
        <w:rPr>
          <w:b/>
          <w:sz w:val="32"/>
          <w:szCs w:val="32"/>
          <w:highlight w:val="white"/>
        </w:rPr>
        <w:tab/>
      </w:r>
      <w:r>
        <w:rPr>
          <w:sz w:val="24"/>
          <w:szCs w:val="24"/>
          <w:highlight w:val="white"/>
        </w:rPr>
        <w:t>All. 1.1 Inquadramento territoriale area intervento</w:t>
      </w:r>
    </w:p>
    <w:p w:rsidR="00643D94" w:rsidRDefault="00D37B1B">
      <w:pPr>
        <w:pStyle w:val="normal"/>
        <w:spacing w:before="40" w:after="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ab/>
        <w:t xml:space="preserve">All. 1.2 Planimetria di progetto </w:t>
      </w:r>
    </w:p>
    <w:p w:rsidR="00643D94" w:rsidRDefault="00D37B1B">
      <w:pPr>
        <w:pStyle w:val="normal"/>
        <w:spacing w:before="40" w:after="40"/>
        <w:ind w:left="720"/>
        <w:jc w:val="both"/>
        <w:rPr>
          <w:sz w:val="22"/>
          <w:szCs w:val="22"/>
          <w:highlight w:val="white"/>
        </w:rPr>
      </w:pPr>
      <w:r>
        <w:rPr>
          <w:sz w:val="24"/>
          <w:szCs w:val="24"/>
          <w:highlight w:val="white"/>
        </w:rPr>
        <w:t xml:space="preserve">All. 1.3 Prospetti e sezione dell’impianto con elementi della fascia verde </w:t>
      </w:r>
      <w:r>
        <w:rPr>
          <w:sz w:val="24"/>
          <w:szCs w:val="24"/>
          <w:highlight w:val="white"/>
        </w:rPr>
        <w:tab/>
        <w:t xml:space="preserve">       All. 1.4 Progetto preliminare per piantumazioni con funzione di mitigazione visiva - Planimetria generale </w:t>
      </w:r>
      <w:proofErr w:type="spellStart"/>
      <w:r>
        <w:rPr>
          <w:sz w:val="24"/>
          <w:szCs w:val="24"/>
          <w:highlight w:val="white"/>
        </w:rPr>
        <w:t>Tav</w:t>
      </w:r>
      <w:proofErr w:type="spellEnd"/>
      <w:r>
        <w:rPr>
          <w:sz w:val="24"/>
          <w:szCs w:val="24"/>
          <w:highlight w:val="white"/>
        </w:rPr>
        <w:t xml:space="preserve"> 04 </w:t>
      </w:r>
    </w:p>
    <w:p w:rsidR="00643D94" w:rsidRDefault="00D37B1B">
      <w:pPr>
        <w:pStyle w:val="normal"/>
        <w:spacing w:before="40" w:after="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ab/>
        <w:t xml:space="preserve">All. 1.5 Deroga distanze (art.119.11 NTA RUE) </w:t>
      </w:r>
    </w:p>
    <w:p w:rsidR="00643D94" w:rsidRDefault="00D37B1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All. 1.6 Planimetria di progetto con distanze interne 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 dare atto</w:t>
      </w:r>
      <w:r w:rsidR="00F212FC">
        <w:rPr>
          <w:color w:val="000000"/>
          <w:sz w:val="24"/>
          <w:szCs w:val="24"/>
        </w:rPr>
        <w:t xml:space="preserve"> che, in caso di approvazione,</w:t>
      </w:r>
      <w:r>
        <w:rPr>
          <w:color w:val="000000"/>
          <w:sz w:val="24"/>
          <w:szCs w:val="24"/>
        </w:rPr>
        <w:t xml:space="preserve"> la realizzazione dell’intervento comporta Variante al 2° POC, e pertanto il rilascio dell’Autorizzazione di cui trattasi, da parte di </w:t>
      </w:r>
      <w:r>
        <w:rPr>
          <w:sz w:val="24"/>
          <w:szCs w:val="24"/>
        </w:rPr>
        <w:t>ARPAE SAC</w:t>
      </w:r>
      <w:r>
        <w:rPr>
          <w:color w:val="000000"/>
          <w:sz w:val="24"/>
          <w:szCs w:val="24"/>
        </w:rPr>
        <w:t xml:space="preserve">, ai sensi dell’art.12 del </w:t>
      </w:r>
      <w:proofErr w:type="spellStart"/>
      <w:r>
        <w:rPr>
          <w:color w:val="000000"/>
          <w:sz w:val="24"/>
          <w:szCs w:val="24"/>
        </w:rPr>
        <w:t>D.Lgs.</w:t>
      </w:r>
      <w:proofErr w:type="spellEnd"/>
      <w:r>
        <w:rPr>
          <w:color w:val="000000"/>
          <w:sz w:val="24"/>
          <w:szCs w:val="24"/>
        </w:rPr>
        <w:t xml:space="preserve"> 387/2003 e </w:t>
      </w:r>
      <w:proofErr w:type="spellStart"/>
      <w:r>
        <w:rPr>
          <w:color w:val="000000"/>
          <w:sz w:val="24"/>
          <w:szCs w:val="24"/>
        </w:rPr>
        <w:t>s.m.i</w:t>
      </w:r>
      <w:proofErr w:type="spellEnd"/>
      <w:r>
        <w:rPr>
          <w:color w:val="000000"/>
          <w:sz w:val="24"/>
          <w:szCs w:val="24"/>
        </w:rPr>
        <w:t xml:space="preserve">, comporterà la conformazione della vigente strumentazione urbanistica generale al progetto stesso di cui agli elaborati sotto elencati, </w:t>
      </w:r>
      <w:r w:rsidR="00A02370">
        <w:rPr>
          <w:color w:val="000000"/>
          <w:sz w:val="24"/>
          <w:szCs w:val="24"/>
        </w:rPr>
        <w:t xml:space="preserve">allegati parte integrante alla presente delibera: </w:t>
      </w:r>
    </w:p>
    <w:p w:rsidR="0012382C" w:rsidRDefault="0012382C" w:rsidP="0012382C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Elaborati di progetto: </w:t>
      </w:r>
    </w:p>
    <w:p w:rsidR="00643D94" w:rsidRDefault="00D37B1B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993" w:hanging="283"/>
        <w:jc w:val="both"/>
        <w:rPr>
          <w:color w:val="222222"/>
        </w:rPr>
      </w:pPr>
      <w:r>
        <w:rPr>
          <w:color w:val="222222"/>
          <w:sz w:val="24"/>
          <w:szCs w:val="24"/>
        </w:rPr>
        <w:t>RP 4.6 Coordinamento RUE-POC Destinazioni d’uso – n.1 foglio 1:10000;</w:t>
      </w:r>
    </w:p>
    <w:p w:rsidR="00643D94" w:rsidRDefault="00D37B1B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993" w:hanging="283"/>
        <w:jc w:val="both"/>
        <w:rPr>
          <w:color w:val="222222"/>
        </w:rPr>
      </w:pPr>
      <w:r>
        <w:rPr>
          <w:color w:val="222222"/>
          <w:sz w:val="24"/>
          <w:szCs w:val="24"/>
        </w:rPr>
        <w:t>RP 6.6 Coordinamento RUE-POC Regole per le trasformazioni - n.1 foglio 1:10000;</w:t>
      </w:r>
    </w:p>
    <w:p w:rsidR="00643D94" w:rsidRDefault="00D37B1B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993" w:hanging="283"/>
        <w:jc w:val="both"/>
        <w:rPr>
          <w:color w:val="222222"/>
        </w:rPr>
      </w:pPr>
      <w:r>
        <w:rPr>
          <w:color w:val="222222"/>
          <w:sz w:val="24"/>
          <w:szCs w:val="24"/>
        </w:rPr>
        <w:t>7.1_Localizzazione delle opere e dei servizi pubblici e di interesse pubblico – n.1 foglio 1:5000;</w:t>
      </w:r>
    </w:p>
    <w:p w:rsidR="00643D94" w:rsidRDefault="00D37B1B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ind w:left="993" w:hanging="283"/>
        <w:jc w:val="both"/>
        <w:rPr>
          <w:color w:val="222222"/>
        </w:rPr>
      </w:pPr>
      <w:r>
        <w:rPr>
          <w:color w:val="222222"/>
          <w:sz w:val="24"/>
          <w:szCs w:val="24"/>
        </w:rPr>
        <w:t>8.1_Vincoli preordinati all’esproprio – foglio n. 137 1:2000;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 subordinare</w:t>
      </w:r>
      <w:r w:rsidR="00F212FC">
        <w:rPr>
          <w:color w:val="000000"/>
          <w:sz w:val="24"/>
          <w:szCs w:val="24"/>
        </w:rPr>
        <w:t xml:space="preserve">, in caso di approvazione, </w:t>
      </w:r>
      <w:r>
        <w:rPr>
          <w:color w:val="000000"/>
          <w:sz w:val="24"/>
          <w:szCs w:val="24"/>
        </w:rPr>
        <w:t xml:space="preserve"> il rilascio dei permessi di costruire in deroga al rilascio dell’Autorizzazione di cui trattasi, da parte di </w:t>
      </w:r>
      <w:r>
        <w:rPr>
          <w:sz w:val="24"/>
          <w:szCs w:val="24"/>
        </w:rPr>
        <w:t>ARPAE SAC</w:t>
      </w:r>
      <w:r w:rsidR="0012382C">
        <w:rPr>
          <w:color w:val="000000"/>
          <w:sz w:val="24"/>
          <w:szCs w:val="24"/>
        </w:rPr>
        <w:t xml:space="preserve">, ai sensi dell’art. 12 del </w:t>
      </w:r>
      <w:proofErr w:type="spellStart"/>
      <w:r w:rsidR="0012382C">
        <w:rPr>
          <w:color w:val="000000"/>
          <w:sz w:val="24"/>
          <w:szCs w:val="24"/>
        </w:rPr>
        <w:t>D.LGS</w:t>
      </w:r>
      <w:r>
        <w:rPr>
          <w:color w:val="000000"/>
          <w:sz w:val="24"/>
          <w:szCs w:val="24"/>
        </w:rPr>
        <w:t>.</w:t>
      </w:r>
      <w:proofErr w:type="spellEnd"/>
      <w:r>
        <w:rPr>
          <w:color w:val="000000"/>
          <w:sz w:val="24"/>
          <w:szCs w:val="24"/>
        </w:rPr>
        <w:t xml:space="preserve"> 387/2003 e </w:t>
      </w:r>
      <w:proofErr w:type="spellStart"/>
      <w:r>
        <w:rPr>
          <w:color w:val="000000"/>
          <w:sz w:val="24"/>
          <w:szCs w:val="24"/>
        </w:rPr>
        <w:t>s.m.i</w:t>
      </w:r>
      <w:proofErr w:type="spellEnd"/>
      <w:r>
        <w:rPr>
          <w:color w:val="000000"/>
          <w:sz w:val="24"/>
          <w:szCs w:val="24"/>
        </w:rPr>
        <w:t>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 stabilire che</w:t>
      </w:r>
      <w:r w:rsidR="00F212FC">
        <w:rPr>
          <w:color w:val="000000"/>
          <w:sz w:val="24"/>
          <w:szCs w:val="24"/>
        </w:rPr>
        <w:t xml:space="preserve">, in caso di approvazione, </w:t>
      </w:r>
      <w:r>
        <w:rPr>
          <w:color w:val="000000"/>
          <w:sz w:val="24"/>
          <w:szCs w:val="24"/>
        </w:rPr>
        <w:t xml:space="preserve"> verrà realizzato, a carico della Ditta, quale opera di compensazione ambientale ai sensi del Decreto 10/09/2010 "Linee guida per l'autorizzazione degli impianti alimentati da fonti rinnovabili”, un intervento di forestazione ad un ulteriore protezione dei beni tutelati che sono oggetto del permesso in deroga; tale intervento dovrà essere definito in accordo con l’amministrazione coerentemente con le aspettative di mitigazione definite dall’amministrazione stessa, e realizzato contestualmente alle dotazioni territoriali;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di dare mandato al Dirigente di stabilire che</w:t>
      </w:r>
      <w:r w:rsidR="00F212FC">
        <w:rPr>
          <w:color w:val="000000"/>
          <w:sz w:val="24"/>
          <w:szCs w:val="24"/>
        </w:rPr>
        <w:t xml:space="preserve">, in caso di approvazione, </w:t>
      </w:r>
      <w:r>
        <w:rPr>
          <w:color w:val="222222"/>
          <w:sz w:val="24"/>
          <w:szCs w:val="24"/>
        </w:rPr>
        <w:t xml:space="preserve"> eventuali richieste di variante in corso d’opera di cui all’art 22 della L. R. 15/2013 e </w:t>
      </w:r>
      <w:proofErr w:type="spellStart"/>
      <w:r>
        <w:rPr>
          <w:color w:val="222222"/>
          <w:sz w:val="24"/>
          <w:szCs w:val="24"/>
        </w:rPr>
        <w:t>s.m.i</w:t>
      </w:r>
      <w:proofErr w:type="spellEnd"/>
      <w:r>
        <w:rPr>
          <w:color w:val="222222"/>
          <w:sz w:val="24"/>
          <w:szCs w:val="24"/>
        </w:rPr>
        <w:t xml:space="preserve"> che non costituiscono variazione essenziale ai sensi dell’art. 14 bis della </w:t>
      </w:r>
      <w:proofErr w:type="spellStart"/>
      <w:r>
        <w:rPr>
          <w:color w:val="222222"/>
          <w:sz w:val="24"/>
          <w:szCs w:val="24"/>
        </w:rPr>
        <w:t>L.R.</w:t>
      </w:r>
      <w:proofErr w:type="spellEnd"/>
      <w:r>
        <w:rPr>
          <w:color w:val="222222"/>
          <w:sz w:val="24"/>
          <w:szCs w:val="24"/>
        </w:rPr>
        <w:t xml:space="preserve"> 23 del 2004, relative ai permessi in deroga di cui al presente atto non dovranno essere sottoposte a delibera consiliare in deroga; 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di dare atto che</w:t>
      </w:r>
      <w:r w:rsidR="00F212FC">
        <w:rPr>
          <w:color w:val="000000"/>
          <w:sz w:val="24"/>
          <w:szCs w:val="24"/>
        </w:rPr>
        <w:t xml:space="preserve">, in caso di approvazione, </w:t>
      </w:r>
      <w:r>
        <w:rPr>
          <w:color w:val="222222"/>
          <w:sz w:val="24"/>
          <w:szCs w:val="24"/>
        </w:rPr>
        <w:t xml:space="preserve"> a far data dalla pubblicazione della variante urbanistica al 2° POC e alla deroga delle norme di RUE sul BURERT da parte di ARPAE SAC, il Comune di Ferrara procederà al deposito del progetto presso gli uffici della U.O. Pianificazione generale e paesaggistica, dandone la massima diffusione e pubblicità affinché i soggetti che potrebbero essere interessati all’avvio della procedura, ne siano informati ai sensi dell’art. 31 del vigente RUE e come previsto dall’art. 8 della legge 241/90, in quanto la zona circostante l’intervento risulta in parte abitata;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43D94" w:rsidRDefault="00D37B1B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 dare atto che il responsabile del procedimento è l’arch. Fabrizio Magnani, Dirigente del</w:t>
      </w:r>
      <w:r w:rsidR="0012382C">
        <w:rPr>
          <w:color w:val="000000"/>
          <w:sz w:val="24"/>
          <w:szCs w:val="24"/>
        </w:rPr>
        <w:t xml:space="preserve"> Settore Governo del Territorio.</w:t>
      </w: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ind w:left="708"/>
        <w:rPr>
          <w:color w:val="FF0000"/>
          <w:sz w:val="24"/>
          <w:szCs w:val="24"/>
        </w:rPr>
      </w:pPr>
    </w:p>
    <w:p w:rsidR="00643D94" w:rsidRDefault="00643D9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24"/>
          <w:szCs w:val="24"/>
        </w:rPr>
      </w:pPr>
    </w:p>
    <w:sectPr w:rsidR="00643D94" w:rsidSect="00643D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814" w:bottom="1701" w:left="181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6CA" w:rsidRDefault="00FF26CA" w:rsidP="00F212FC">
      <w:pPr>
        <w:spacing w:line="240" w:lineRule="auto"/>
        <w:ind w:left="0" w:hanging="2"/>
      </w:pPr>
      <w:r>
        <w:separator/>
      </w:r>
    </w:p>
  </w:endnote>
  <w:endnote w:type="continuationSeparator" w:id="0">
    <w:p w:rsidR="00FF26CA" w:rsidRDefault="00FF26CA" w:rsidP="00F212F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Gothic-Bold*1~913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Gothic-Bold*1~419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2C" w:rsidRDefault="0012382C" w:rsidP="0012382C">
    <w:pPr>
      <w:pStyle w:val="Pidipagin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2C" w:rsidRDefault="0012382C" w:rsidP="0012382C">
    <w:pPr>
      <w:pStyle w:val="Pidipagina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2C" w:rsidRDefault="0012382C" w:rsidP="0012382C">
    <w:pPr>
      <w:pStyle w:val="Pidipagin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6CA" w:rsidRDefault="00FF26CA" w:rsidP="00F212FC">
      <w:pPr>
        <w:spacing w:line="240" w:lineRule="auto"/>
        <w:ind w:left="0" w:hanging="2"/>
      </w:pPr>
      <w:r>
        <w:separator/>
      </w:r>
    </w:p>
  </w:footnote>
  <w:footnote w:type="continuationSeparator" w:id="0">
    <w:p w:rsidR="00FF26CA" w:rsidRDefault="00FF26CA" w:rsidP="00F212F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2C" w:rsidRDefault="0012382C" w:rsidP="0012382C">
    <w:pPr>
      <w:pStyle w:val="Intestazione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D94" w:rsidRPr="0012382C" w:rsidRDefault="0012382C" w:rsidP="0012382C">
    <w:pPr>
      <w:pStyle w:val="Intestazione"/>
      <w:ind w:left="0" w:hanging="2"/>
      <w:rPr>
        <w:sz w:val="24"/>
        <w:szCs w:val="24"/>
      </w:rPr>
    </w:pPr>
    <w:r w:rsidRPr="0012382C">
      <w:rPr>
        <w:sz w:val="24"/>
        <w:szCs w:val="24"/>
      </w:rPr>
      <w:t>18921/2022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2C" w:rsidRDefault="0012382C" w:rsidP="0012382C">
    <w:pPr>
      <w:pStyle w:val="Intestazione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97D"/>
    <w:multiLevelType w:val="multilevel"/>
    <w:tmpl w:val="C5D4CBA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7242132"/>
    <w:multiLevelType w:val="multilevel"/>
    <w:tmpl w:val="5C76B738"/>
    <w:lvl w:ilvl="0">
      <w:start w:val="1"/>
      <w:numFmt w:val="decimal"/>
      <w:lvlText w:val="%1."/>
      <w:lvlJc w:val="left"/>
      <w:pPr>
        <w:ind w:left="74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6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8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0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2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4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6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8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02" w:hanging="180"/>
      </w:pPr>
      <w:rPr>
        <w:vertAlign w:val="baseline"/>
      </w:rPr>
    </w:lvl>
  </w:abstractNum>
  <w:abstractNum w:abstractNumId="2">
    <w:nsid w:val="49C2655A"/>
    <w:multiLevelType w:val="multilevel"/>
    <w:tmpl w:val="FFF0362E"/>
    <w:lvl w:ilvl="0">
      <w:start w:val="5"/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color w:val="000000"/>
        <w:sz w:val="16"/>
        <w:szCs w:val="16"/>
        <w:vertAlign w:val="baseline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Verdana" w:eastAsia="Verdana" w:hAnsi="Verdana" w:cs="Verdana"/>
        <w:color w:val="000000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561A7444"/>
    <w:multiLevelType w:val="multilevel"/>
    <w:tmpl w:val="4228470A"/>
    <w:lvl w:ilvl="0">
      <w:start w:val="5"/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5EE5416B"/>
    <w:multiLevelType w:val="multilevel"/>
    <w:tmpl w:val="F1FE1FAC"/>
    <w:lvl w:ilvl="0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950480D"/>
    <w:multiLevelType w:val="multilevel"/>
    <w:tmpl w:val="CA90B53E"/>
    <w:lvl w:ilvl="0">
      <w:start w:val="5"/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D94"/>
    <w:rsid w:val="000D3725"/>
    <w:rsid w:val="0012382C"/>
    <w:rsid w:val="00413585"/>
    <w:rsid w:val="00643D94"/>
    <w:rsid w:val="009F3A2F"/>
    <w:rsid w:val="00A02370"/>
    <w:rsid w:val="00A232E7"/>
    <w:rsid w:val="00A754DE"/>
    <w:rsid w:val="00C3431F"/>
    <w:rsid w:val="00D37B1B"/>
    <w:rsid w:val="00D42EB2"/>
    <w:rsid w:val="00E57C7F"/>
    <w:rsid w:val="00F212FC"/>
    <w:rsid w:val="00FF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43D9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rsid w:val="00643D94"/>
    <w:pPr>
      <w:keepNext/>
      <w:jc w:val="center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rsid w:val="00643D94"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rsid w:val="00643D94"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rsid w:val="00643D94"/>
    <w:pPr>
      <w:keepNext/>
      <w:outlineLvl w:val="3"/>
    </w:pPr>
    <w:rPr>
      <w:sz w:val="24"/>
    </w:rPr>
  </w:style>
  <w:style w:type="paragraph" w:styleId="Titolo5">
    <w:name w:val="heading 5"/>
    <w:basedOn w:val="normal"/>
    <w:next w:val="normal"/>
    <w:rsid w:val="00643D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643D94"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rsid w:val="00643D94"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43D94"/>
  </w:style>
  <w:style w:type="table" w:customStyle="1" w:styleId="TableNormal">
    <w:name w:val="Table Normal"/>
    <w:rsid w:val="00643D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43D94"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Normale"/>
    <w:rsid w:val="00643D94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rsid w:val="00643D94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rsid w:val="00643D94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rsid w:val="00643D94"/>
    <w:pPr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643D94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rsid w:val="00643D94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rsid w:val="00643D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43D94"/>
    <w:pPr>
      <w:tabs>
        <w:tab w:val="center" w:pos="4819"/>
        <w:tab w:val="right" w:pos="9638"/>
      </w:tabs>
    </w:pPr>
  </w:style>
  <w:style w:type="character" w:styleId="Enfasigrassetto">
    <w:name w:val="Strong"/>
    <w:rsid w:val="00643D94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643D94"/>
    <w:pPr>
      <w:ind w:left="708"/>
    </w:pPr>
  </w:style>
  <w:style w:type="character" w:styleId="Rimandocommento">
    <w:name w:val="annotation reference"/>
    <w:basedOn w:val="Carpredefinitoparagrafo"/>
    <w:rsid w:val="00643D94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rsid w:val="00643D94"/>
  </w:style>
  <w:style w:type="character" w:customStyle="1" w:styleId="TestocommentoCarattere">
    <w:name w:val="Testo commento Carattere"/>
    <w:basedOn w:val="Carpredefinitoparagrafo"/>
    <w:rsid w:val="00643D94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rsid w:val="00643D94"/>
    <w:rPr>
      <w:b/>
      <w:bCs/>
    </w:rPr>
  </w:style>
  <w:style w:type="character" w:customStyle="1" w:styleId="SoggettocommentoCarattere">
    <w:name w:val="Soggetto commento Carattere"/>
    <w:basedOn w:val="TestocommentoCarattere"/>
    <w:rsid w:val="00643D94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sid w:val="00643D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sid w:val="00643D9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643D9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Collegamentoipertestuale">
    <w:name w:val="Hyperlink"/>
    <w:basedOn w:val="Carpredefinitoparagrafo"/>
    <w:qFormat/>
    <w:rsid w:val="00643D9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corsivo">
    <w:name w:val="Emphasis"/>
    <w:basedOn w:val="Carpredefinitoparagrafo"/>
    <w:rsid w:val="00643D94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basedOn w:val="Carpredefinitoparagrafo"/>
    <w:rsid w:val="00643D94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643D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5YEkD8HTvJV2C/MkQNhdYXNE9w==">AMUW2mVtGJMQJPfi7CT1ZP/bxlcSujZIjaDHCMOkZA0/X8LJL0Jt19AoOfNH4uEijNtBCw1FULsqQz+U0y9YlqLFVkWrCxVAXdgpOWlx5d+Plm3ElkcGZaU=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2185</Words>
  <Characters>12461</Characters>
  <Application>Microsoft Office Word</Application>
  <DocSecurity>0</DocSecurity>
  <Lines>103</Lines>
  <Paragraphs>29</Paragraphs>
  <ScaleCrop>false</ScaleCrop>
  <Company/>
  <LinksUpToDate>false</LinksUpToDate>
  <CharactersWithSpaces>14617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9</cp:revision>
  <cp:lastPrinted>2022-02-15T11:25:00Z</cp:lastPrinted>
  <dcterms:created xsi:type="dcterms:W3CDTF">2022-02-15T10:54:00Z</dcterms:created>
  <dcterms:modified xsi:type="dcterms:W3CDTF">2022-02-15T12:01:00Z</dcterms:modified>
</cp:coreProperties>
</file>