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BCF" w:rsidRPr="00D70BCF" w:rsidRDefault="00D70BCF" w:rsidP="009C7D17">
      <w:pPr>
        <w:jc w:val="both"/>
        <w:rPr>
          <w:szCs w:val="24"/>
        </w:rPr>
      </w:pPr>
    </w:p>
    <w:p w:rsidR="00D70BCF" w:rsidRPr="00D70BCF" w:rsidRDefault="00D70BCF" w:rsidP="00D70BCF">
      <w:pPr>
        <w:jc w:val="center"/>
        <w:rPr>
          <w:szCs w:val="24"/>
        </w:rPr>
      </w:pPr>
      <w:r w:rsidRPr="00D70BCF">
        <w:rPr>
          <w:szCs w:val="24"/>
        </w:rPr>
        <w:t>ISTRUTTORIA CONSILIARE</w:t>
      </w:r>
    </w:p>
    <w:p w:rsidR="00D70BCF" w:rsidRPr="00D70BCF" w:rsidRDefault="00D70BCF" w:rsidP="00D70BCF">
      <w:pPr>
        <w:jc w:val="center"/>
        <w:rPr>
          <w:szCs w:val="24"/>
        </w:rPr>
      </w:pPr>
    </w:p>
    <w:p w:rsidR="00D70BCF" w:rsidRPr="00D70BCF" w:rsidRDefault="00D70BCF" w:rsidP="00D70BCF">
      <w:pPr>
        <w:jc w:val="center"/>
        <w:rPr>
          <w:szCs w:val="24"/>
        </w:rPr>
      </w:pPr>
    </w:p>
    <w:p w:rsidR="00D70BCF" w:rsidRPr="00D70BCF" w:rsidRDefault="00D70BCF" w:rsidP="009C7D17">
      <w:pPr>
        <w:jc w:val="both"/>
        <w:rPr>
          <w:szCs w:val="24"/>
        </w:rPr>
      </w:pPr>
    </w:p>
    <w:p w:rsidR="009C7D17" w:rsidRPr="00D70BCF" w:rsidRDefault="009A15EB" w:rsidP="009C7D17">
      <w:pPr>
        <w:jc w:val="both"/>
        <w:rPr>
          <w:rFonts w:cs="Arial"/>
          <w:b/>
          <w:szCs w:val="24"/>
        </w:rPr>
      </w:pPr>
      <w:r w:rsidRPr="00D70BCF">
        <w:rPr>
          <w:b/>
          <w:szCs w:val="24"/>
        </w:rPr>
        <w:t>ASSENSO PRELIMINARE</w:t>
      </w:r>
      <w:r w:rsidR="00BC35D3" w:rsidRPr="00D70BCF">
        <w:rPr>
          <w:b/>
          <w:szCs w:val="24"/>
        </w:rPr>
        <w:t xml:space="preserve"> AI SENSI DELL'ART. 53, COMMA 5, DELLA LR 24/2017 - </w:t>
      </w:r>
      <w:r w:rsidR="009C7D17" w:rsidRPr="00D70BCF">
        <w:rPr>
          <w:b/>
          <w:caps/>
          <w:szCs w:val="24"/>
        </w:rPr>
        <w:t>p</w:t>
      </w:r>
      <w:r w:rsidR="009C7D17" w:rsidRPr="00D70BCF">
        <w:rPr>
          <w:rFonts w:cs="Arial"/>
          <w:b/>
          <w:caps/>
          <w:szCs w:val="24"/>
        </w:rPr>
        <w:t xml:space="preserve">rocedimento unico per l’APPROVAZIONE DEL PROGETTO </w:t>
      </w:r>
      <w:proofErr w:type="spellStart"/>
      <w:r w:rsidR="009C7D17" w:rsidRPr="00D70BCF">
        <w:rPr>
          <w:rFonts w:cs="Arial"/>
          <w:b/>
          <w:caps/>
          <w:szCs w:val="24"/>
        </w:rPr>
        <w:t>di</w:t>
      </w:r>
      <w:proofErr w:type="spellEnd"/>
      <w:r w:rsidR="009C7D17" w:rsidRPr="00D70BCF">
        <w:rPr>
          <w:rFonts w:cs="Arial"/>
          <w:b/>
          <w:caps/>
          <w:szCs w:val="24"/>
        </w:rPr>
        <w:t xml:space="preserve"> potenziamento distr</w:t>
      </w:r>
      <w:r w:rsidR="00A33611" w:rsidRPr="00D70BCF">
        <w:rPr>
          <w:rFonts w:cs="Arial"/>
          <w:b/>
          <w:caps/>
          <w:szCs w:val="24"/>
        </w:rPr>
        <w:t>ibutore  carburanti  esistente</w:t>
      </w:r>
      <w:r w:rsidR="009C7D17" w:rsidRPr="00D70BCF">
        <w:rPr>
          <w:rFonts w:cs="Arial"/>
          <w:b/>
          <w:caps/>
          <w:szCs w:val="24"/>
        </w:rPr>
        <w:t xml:space="preserve">, sito in Ferrara, via </w:t>
      </w:r>
      <w:r w:rsidR="00642027" w:rsidRPr="00D70BCF">
        <w:rPr>
          <w:rFonts w:cs="Arial"/>
          <w:b/>
          <w:caps/>
          <w:szCs w:val="24"/>
        </w:rPr>
        <w:t>LANFRANCO CARETTI</w:t>
      </w:r>
      <w:r w:rsidR="004F7D85" w:rsidRPr="00D70BCF">
        <w:rPr>
          <w:rFonts w:cs="Arial"/>
          <w:b/>
          <w:caps/>
          <w:szCs w:val="24"/>
        </w:rPr>
        <w:t xml:space="preserve"> n.1</w:t>
      </w:r>
      <w:r w:rsidR="009C7D17" w:rsidRPr="00D70BCF">
        <w:rPr>
          <w:rFonts w:cs="Arial"/>
          <w:b/>
          <w:caps/>
          <w:szCs w:val="24"/>
        </w:rPr>
        <w:t xml:space="preserve">, in variante al </w:t>
      </w:r>
      <w:r w:rsidR="00D70BCF" w:rsidRPr="00D70BCF">
        <w:rPr>
          <w:rFonts w:cs="Arial"/>
          <w:b/>
          <w:caps/>
          <w:szCs w:val="24"/>
        </w:rPr>
        <w:t>II</w:t>
      </w:r>
      <w:r w:rsidR="003B4D8C" w:rsidRPr="00D70BCF">
        <w:rPr>
          <w:rFonts w:cs="Arial"/>
          <w:b/>
          <w:caps/>
          <w:szCs w:val="24"/>
        </w:rPr>
        <w:t xml:space="preserve"> </w:t>
      </w:r>
      <w:r w:rsidR="009C7D17" w:rsidRPr="00D70BCF">
        <w:rPr>
          <w:rFonts w:cs="Arial"/>
          <w:b/>
          <w:caps/>
          <w:szCs w:val="24"/>
        </w:rPr>
        <w:t>POC</w:t>
      </w:r>
      <w:r w:rsidR="00BC35D3" w:rsidRPr="00D70BCF">
        <w:rPr>
          <w:rFonts w:cs="Arial"/>
          <w:b/>
          <w:caps/>
          <w:szCs w:val="24"/>
        </w:rPr>
        <w:t xml:space="preserve"> PRESENTATO DA</w:t>
      </w:r>
      <w:r w:rsidR="00642027" w:rsidRPr="00D70BCF">
        <w:rPr>
          <w:rFonts w:cs="Arial"/>
          <w:b/>
          <w:caps/>
          <w:szCs w:val="24"/>
        </w:rPr>
        <w:t xml:space="preserve"> VEGA CARBURANTI </w:t>
      </w:r>
      <w:proofErr w:type="spellStart"/>
      <w:r w:rsidR="00642027" w:rsidRPr="00D70BCF">
        <w:rPr>
          <w:rFonts w:cs="Arial"/>
          <w:b/>
          <w:caps/>
          <w:szCs w:val="24"/>
        </w:rPr>
        <w:t>S.P.A</w:t>
      </w:r>
      <w:r w:rsidR="00BC35D3" w:rsidRPr="00D70BCF">
        <w:rPr>
          <w:b/>
          <w:szCs w:val="24"/>
        </w:rPr>
        <w:t>.</w:t>
      </w:r>
      <w:proofErr w:type="spellEnd"/>
    </w:p>
    <w:p w:rsidR="009C7D17" w:rsidRPr="00D70BCF" w:rsidRDefault="009C7D17" w:rsidP="009C7D17">
      <w:pPr>
        <w:rPr>
          <w:b/>
          <w:szCs w:val="24"/>
        </w:rPr>
      </w:pPr>
    </w:p>
    <w:p w:rsidR="009C7D17" w:rsidRPr="00D70BCF" w:rsidRDefault="009C7D17" w:rsidP="009C7D17">
      <w:pPr>
        <w:jc w:val="both"/>
        <w:rPr>
          <w:rFonts w:cs="Arial"/>
          <w:szCs w:val="24"/>
        </w:rPr>
      </w:pPr>
    </w:p>
    <w:p w:rsidR="00D70BCF" w:rsidRPr="00D70BCF" w:rsidRDefault="00D70BCF" w:rsidP="00D70BCF">
      <w:pPr>
        <w:jc w:val="center"/>
        <w:rPr>
          <w:rFonts w:cs="Arial"/>
          <w:b/>
          <w:szCs w:val="24"/>
        </w:rPr>
      </w:pPr>
      <w:r w:rsidRPr="00D70BCF">
        <w:rPr>
          <w:rFonts w:cs="Arial"/>
          <w:b/>
          <w:szCs w:val="24"/>
        </w:rPr>
        <w:t>IL CONSIGLIO COMUNALE</w:t>
      </w:r>
    </w:p>
    <w:p w:rsidR="00D70BCF" w:rsidRPr="00D70BCF" w:rsidRDefault="00D70BCF" w:rsidP="009C7D17">
      <w:pPr>
        <w:jc w:val="both"/>
        <w:rPr>
          <w:rFonts w:cs="Arial"/>
          <w:szCs w:val="24"/>
        </w:rPr>
      </w:pPr>
    </w:p>
    <w:p w:rsidR="009C7D17" w:rsidRPr="00D70BCF" w:rsidRDefault="003B4D8C" w:rsidP="009C7D17">
      <w:pPr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>Premesso</w:t>
      </w:r>
      <w:r w:rsidR="009C7D17" w:rsidRPr="00D70BCF">
        <w:rPr>
          <w:rFonts w:cs="Arial"/>
          <w:szCs w:val="24"/>
        </w:rPr>
        <w:t>:</w:t>
      </w:r>
    </w:p>
    <w:p w:rsidR="009C7D17" w:rsidRPr="00D70BCF" w:rsidRDefault="00FD5403" w:rsidP="005B02B0">
      <w:pPr>
        <w:numPr>
          <w:ilvl w:val="0"/>
          <w:numId w:val="11"/>
        </w:numPr>
        <w:autoSpaceDE w:val="0"/>
        <w:autoSpaceDN w:val="0"/>
        <w:adjustRightInd w:val="0"/>
        <w:spacing w:before="276"/>
        <w:jc w:val="both"/>
        <w:rPr>
          <w:rFonts w:cs="Arial"/>
          <w:color w:val="000000"/>
          <w:szCs w:val="24"/>
        </w:rPr>
      </w:pPr>
      <w:r w:rsidRPr="00D70BCF">
        <w:rPr>
          <w:rFonts w:cs="Arial"/>
          <w:bCs/>
          <w:iCs/>
          <w:szCs w:val="24"/>
        </w:rPr>
        <w:t xml:space="preserve">che </w:t>
      </w:r>
      <w:r w:rsidR="00B45AB7" w:rsidRPr="00D70BCF">
        <w:rPr>
          <w:rFonts w:cs="Arial"/>
          <w:szCs w:val="24"/>
        </w:rPr>
        <w:t>Vega Carburanti S.p.A.</w:t>
      </w:r>
      <w:r w:rsidR="0003317D" w:rsidRPr="00D70BCF">
        <w:rPr>
          <w:rFonts w:cs="Arial"/>
          <w:szCs w:val="24"/>
        </w:rPr>
        <w:t>,</w:t>
      </w:r>
      <w:r w:rsidR="00B45AB7" w:rsidRPr="00D70BCF">
        <w:rPr>
          <w:rFonts w:cs="Arial"/>
          <w:szCs w:val="24"/>
        </w:rPr>
        <w:t xml:space="preserve"> con sede legale in via Ceccherini, 11 – 30174 Venezia Mestre – </w:t>
      </w:r>
      <w:proofErr w:type="spellStart"/>
      <w:r w:rsidR="00B45AB7" w:rsidRPr="00D70BCF">
        <w:rPr>
          <w:rFonts w:cs="Arial"/>
          <w:szCs w:val="24"/>
        </w:rPr>
        <w:t>P.IVA</w:t>
      </w:r>
      <w:proofErr w:type="spellEnd"/>
      <w:r w:rsidR="00B45AB7" w:rsidRPr="00D70BCF">
        <w:rPr>
          <w:rFonts w:cs="Arial"/>
          <w:szCs w:val="24"/>
        </w:rPr>
        <w:t xml:space="preserve"> 00167460278, </w:t>
      </w:r>
      <w:r w:rsidR="009C7D17" w:rsidRPr="00D70BCF">
        <w:rPr>
          <w:rFonts w:cs="Arial"/>
          <w:bCs/>
          <w:iCs/>
          <w:szCs w:val="24"/>
        </w:rPr>
        <w:t xml:space="preserve">ha presentato istanza </w:t>
      </w:r>
      <w:r w:rsidR="00F67C6E" w:rsidRPr="00D70BCF">
        <w:rPr>
          <w:rFonts w:cs="Arial"/>
          <w:szCs w:val="24"/>
        </w:rPr>
        <w:t xml:space="preserve">PG. 64537/2021 - PR 1786/2021 </w:t>
      </w:r>
      <w:r w:rsidR="00DD240B" w:rsidRPr="00D70BCF">
        <w:rPr>
          <w:rFonts w:cs="Arial"/>
          <w:bCs/>
          <w:iCs/>
          <w:szCs w:val="24"/>
        </w:rPr>
        <w:t>di Procedimento Unico</w:t>
      </w:r>
      <w:r w:rsidR="009C7D17" w:rsidRPr="00D70BCF">
        <w:rPr>
          <w:rFonts w:cs="Arial"/>
          <w:bCs/>
          <w:iCs/>
          <w:szCs w:val="24"/>
        </w:rPr>
        <w:t xml:space="preserve"> ai sensi dell’art. 53 della </w:t>
      </w:r>
      <w:proofErr w:type="spellStart"/>
      <w:r w:rsidR="009C7D17" w:rsidRPr="00D70BCF">
        <w:rPr>
          <w:rFonts w:cs="Arial"/>
          <w:bCs/>
          <w:iCs/>
          <w:szCs w:val="24"/>
        </w:rPr>
        <w:t>L.R.</w:t>
      </w:r>
      <w:proofErr w:type="spellEnd"/>
      <w:r w:rsidR="009C7D17" w:rsidRPr="00D70BCF">
        <w:rPr>
          <w:rFonts w:cs="Arial"/>
          <w:bCs/>
          <w:iCs/>
          <w:szCs w:val="24"/>
        </w:rPr>
        <w:t xml:space="preserve"> 24/2017 e </w:t>
      </w:r>
      <w:proofErr w:type="spellStart"/>
      <w:r w:rsidR="009C7D17" w:rsidRPr="00D70BCF">
        <w:rPr>
          <w:rFonts w:cs="Arial"/>
          <w:bCs/>
          <w:iCs/>
          <w:szCs w:val="24"/>
        </w:rPr>
        <w:t>s</w:t>
      </w:r>
      <w:r w:rsidR="00642027" w:rsidRPr="00D70BCF">
        <w:rPr>
          <w:rFonts w:cs="Arial"/>
          <w:bCs/>
          <w:iCs/>
          <w:szCs w:val="24"/>
        </w:rPr>
        <w:t>.</w:t>
      </w:r>
      <w:r w:rsidR="009C7D17" w:rsidRPr="00D70BCF">
        <w:rPr>
          <w:rFonts w:cs="Arial"/>
          <w:bCs/>
          <w:iCs/>
          <w:szCs w:val="24"/>
        </w:rPr>
        <w:t>m</w:t>
      </w:r>
      <w:r w:rsidR="00642027" w:rsidRPr="00D70BCF">
        <w:rPr>
          <w:rFonts w:cs="Arial"/>
          <w:bCs/>
          <w:iCs/>
          <w:szCs w:val="24"/>
        </w:rPr>
        <w:t>.</w:t>
      </w:r>
      <w:r w:rsidR="009C7D17" w:rsidRPr="00D70BCF">
        <w:rPr>
          <w:rFonts w:cs="Arial"/>
          <w:bCs/>
          <w:iCs/>
          <w:szCs w:val="24"/>
        </w:rPr>
        <w:t>i</w:t>
      </w:r>
      <w:r w:rsidR="00642027" w:rsidRPr="00D70BCF">
        <w:rPr>
          <w:rFonts w:cs="Arial"/>
          <w:bCs/>
          <w:iCs/>
          <w:szCs w:val="24"/>
        </w:rPr>
        <w:t>.</w:t>
      </w:r>
      <w:proofErr w:type="spellEnd"/>
      <w:r w:rsidR="009C7D17" w:rsidRPr="00D70BCF">
        <w:rPr>
          <w:rFonts w:cs="Arial"/>
          <w:bCs/>
          <w:iCs/>
          <w:szCs w:val="24"/>
        </w:rPr>
        <w:t xml:space="preserve"> per il potenziamento di un distributore carburanti esistente</w:t>
      </w:r>
      <w:r w:rsidR="00CF5E14" w:rsidRPr="00D70BCF">
        <w:rPr>
          <w:rFonts w:cs="Arial"/>
          <w:bCs/>
          <w:iCs/>
          <w:szCs w:val="24"/>
        </w:rPr>
        <w:t xml:space="preserve"> sito in via Lanfranco Caretti n.1</w:t>
      </w:r>
      <w:r w:rsidR="009C7D17" w:rsidRPr="00D70BCF">
        <w:rPr>
          <w:rFonts w:cs="Arial"/>
          <w:bCs/>
          <w:iCs/>
          <w:szCs w:val="24"/>
        </w:rPr>
        <w:t>,</w:t>
      </w:r>
      <w:r w:rsidR="00CE779A" w:rsidRPr="00D70BCF">
        <w:rPr>
          <w:rFonts w:cs="Arial"/>
          <w:bCs/>
          <w:i/>
          <w:iCs/>
          <w:szCs w:val="24"/>
        </w:rPr>
        <w:t xml:space="preserve"> </w:t>
      </w:r>
      <w:r w:rsidR="009C7D17" w:rsidRPr="00D70BCF">
        <w:rPr>
          <w:rFonts w:cs="Arial"/>
          <w:bCs/>
          <w:iCs/>
          <w:szCs w:val="24"/>
        </w:rPr>
        <w:t>con aggiunta d</w:t>
      </w:r>
      <w:r w:rsidR="00CF5E14" w:rsidRPr="00D70BCF">
        <w:rPr>
          <w:rFonts w:cs="Arial"/>
          <w:bCs/>
          <w:iCs/>
          <w:szCs w:val="24"/>
        </w:rPr>
        <w:t xml:space="preserve">i </w:t>
      </w:r>
      <w:r w:rsidR="00CE3793" w:rsidRPr="00D70BCF">
        <w:rPr>
          <w:rFonts w:cs="Arial"/>
          <w:bCs/>
          <w:iCs/>
          <w:szCs w:val="24"/>
        </w:rPr>
        <w:t>erogazione del</w:t>
      </w:r>
      <w:r w:rsidR="00CF5E14" w:rsidRPr="00D70BCF">
        <w:rPr>
          <w:rFonts w:cs="Arial"/>
          <w:bCs/>
          <w:iCs/>
          <w:szCs w:val="24"/>
        </w:rPr>
        <w:t xml:space="preserve"> metano e </w:t>
      </w:r>
      <w:r w:rsidR="00CE3793" w:rsidRPr="00D70BCF">
        <w:rPr>
          <w:rFonts w:cs="Arial"/>
          <w:bCs/>
          <w:iCs/>
          <w:szCs w:val="24"/>
        </w:rPr>
        <w:t>l’</w:t>
      </w:r>
      <w:r w:rsidR="00CF5E14" w:rsidRPr="00D70BCF">
        <w:rPr>
          <w:rFonts w:cs="Arial"/>
          <w:bCs/>
          <w:iCs/>
          <w:szCs w:val="24"/>
        </w:rPr>
        <w:t xml:space="preserve">installazione di infrastruttura </w:t>
      </w:r>
      <w:r w:rsidR="00CE3793" w:rsidRPr="00D70BCF">
        <w:rPr>
          <w:rFonts w:cs="Arial"/>
          <w:bCs/>
          <w:iCs/>
          <w:szCs w:val="24"/>
        </w:rPr>
        <w:t>per la</w:t>
      </w:r>
      <w:r w:rsidR="00CF5E14" w:rsidRPr="00D70BCF">
        <w:rPr>
          <w:rFonts w:cs="Arial"/>
          <w:bCs/>
          <w:iCs/>
          <w:szCs w:val="24"/>
        </w:rPr>
        <w:t xml:space="preserve"> ricarica elettrica in ottemperanza agli obblighi </w:t>
      </w:r>
      <w:r w:rsidR="0032568E" w:rsidRPr="00D70BCF">
        <w:rPr>
          <w:rFonts w:cs="Arial"/>
          <w:bCs/>
          <w:color w:val="222222"/>
          <w:szCs w:val="24"/>
        </w:rPr>
        <w:t xml:space="preserve">all’art. 18 </w:t>
      </w:r>
      <w:r w:rsidR="00CF5E14" w:rsidRPr="00D70BCF">
        <w:rPr>
          <w:rFonts w:cs="Arial"/>
          <w:bCs/>
          <w:iCs/>
          <w:szCs w:val="24"/>
        </w:rPr>
        <w:t xml:space="preserve">del </w:t>
      </w:r>
      <w:proofErr w:type="spellStart"/>
      <w:r w:rsidR="00CF5E14" w:rsidRPr="00D70BCF">
        <w:rPr>
          <w:rFonts w:cs="Arial"/>
          <w:bCs/>
          <w:iCs/>
          <w:szCs w:val="24"/>
        </w:rPr>
        <w:t>D.Lgs.</w:t>
      </w:r>
      <w:proofErr w:type="spellEnd"/>
      <w:r w:rsidR="00CF5E14" w:rsidRPr="00D70BCF">
        <w:rPr>
          <w:rFonts w:cs="Arial"/>
          <w:bCs/>
          <w:iCs/>
          <w:szCs w:val="24"/>
        </w:rPr>
        <w:t xml:space="preserve"> 257/2016</w:t>
      </w:r>
      <w:r w:rsidR="0032568E" w:rsidRPr="00D70BCF">
        <w:rPr>
          <w:rFonts w:cs="Arial"/>
          <w:bCs/>
          <w:color w:val="222222"/>
          <w:szCs w:val="24"/>
        </w:rPr>
        <w:t xml:space="preserve"> recepito dalla </w:t>
      </w:r>
      <w:proofErr w:type="spellStart"/>
      <w:r w:rsidR="0032568E" w:rsidRPr="00D70BCF">
        <w:rPr>
          <w:rFonts w:cs="Arial"/>
          <w:bCs/>
          <w:color w:val="222222"/>
          <w:szCs w:val="24"/>
        </w:rPr>
        <w:t>D.G.R.</w:t>
      </w:r>
      <w:proofErr w:type="spellEnd"/>
      <w:r w:rsidR="0032568E" w:rsidRPr="00D70BCF">
        <w:rPr>
          <w:rFonts w:cs="Arial"/>
          <w:bCs/>
          <w:color w:val="222222"/>
          <w:szCs w:val="24"/>
        </w:rPr>
        <w:t xml:space="preserve"> 2065/2019</w:t>
      </w:r>
      <w:r w:rsidR="00CF5E14" w:rsidRPr="00D70BCF">
        <w:rPr>
          <w:rFonts w:cs="Arial"/>
          <w:bCs/>
          <w:iCs/>
          <w:szCs w:val="24"/>
        </w:rPr>
        <w:t>, in variante al POC e modifica dell’AUA</w:t>
      </w:r>
      <w:r w:rsidR="0073320E" w:rsidRPr="00D70BCF">
        <w:rPr>
          <w:rFonts w:cs="Arial"/>
          <w:bCs/>
          <w:iCs/>
          <w:szCs w:val="24"/>
        </w:rPr>
        <w:t>;</w:t>
      </w:r>
      <w:r w:rsidR="00CF5E14" w:rsidRPr="00D70BCF">
        <w:rPr>
          <w:rFonts w:cs="Arial"/>
          <w:bCs/>
          <w:iCs/>
          <w:szCs w:val="24"/>
        </w:rPr>
        <w:t xml:space="preserve"> </w:t>
      </w:r>
    </w:p>
    <w:p w:rsidR="005B02B0" w:rsidRPr="00D70BCF" w:rsidRDefault="005B02B0" w:rsidP="005B02B0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76"/>
        <w:jc w:val="both"/>
        <w:rPr>
          <w:rFonts w:ascii="Arial" w:hAnsi="Arial" w:cs="Arial"/>
          <w:color w:val="000000"/>
        </w:rPr>
      </w:pPr>
      <w:r w:rsidRPr="00D70BCF">
        <w:rPr>
          <w:rFonts w:ascii="Arial" w:hAnsi="Arial" w:cs="Arial"/>
          <w:color w:val="000000"/>
        </w:rPr>
        <w:t>che la</w:t>
      </w:r>
      <w:r w:rsidRPr="00D70BCF">
        <w:rPr>
          <w:rFonts w:ascii="Arial" w:hAnsi="Arial" w:cs="Arial"/>
          <w:bCs/>
          <w:iCs/>
          <w:color w:val="000000"/>
        </w:rPr>
        <w:t xml:space="preserve"> </w:t>
      </w:r>
      <w:proofErr w:type="spellStart"/>
      <w:r w:rsidRPr="00D70BCF">
        <w:rPr>
          <w:rFonts w:ascii="Arial" w:hAnsi="Arial" w:cs="Arial"/>
          <w:bCs/>
          <w:iCs/>
        </w:rPr>
        <w:t>L.R.</w:t>
      </w:r>
      <w:proofErr w:type="spellEnd"/>
      <w:r w:rsidRPr="00D70BCF">
        <w:rPr>
          <w:rFonts w:ascii="Arial" w:hAnsi="Arial" w:cs="Arial"/>
          <w:bCs/>
          <w:iCs/>
        </w:rPr>
        <w:t xml:space="preserve"> 24/2017 e </w:t>
      </w:r>
      <w:proofErr w:type="spellStart"/>
      <w:r w:rsidRPr="00D70BCF">
        <w:rPr>
          <w:rFonts w:ascii="Arial" w:hAnsi="Arial" w:cs="Arial"/>
          <w:bCs/>
          <w:iCs/>
        </w:rPr>
        <w:t>s</w:t>
      </w:r>
      <w:r w:rsidR="00642027" w:rsidRPr="00D70BCF">
        <w:rPr>
          <w:rFonts w:ascii="Arial" w:hAnsi="Arial" w:cs="Arial"/>
          <w:bCs/>
          <w:iCs/>
        </w:rPr>
        <w:t>.</w:t>
      </w:r>
      <w:r w:rsidRPr="00D70BCF">
        <w:rPr>
          <w:rFonts w:ascii="Arial" w:hAnsi="Arial" w:cs="Arial"/>
          <w:bCs/>
          <w:iCs/>
        </w:rPr>
        <w:t>m</w:t>
      </w:r>
      <w:r w:rsidR="00642027" w:rsidRPr="00D70BCF">
        <w:rPr>
          <w:rFonts w:ascii="Arial" w:hAnsi="Arial" w:cs="Arial"/>
          <w:bCs/>
          <w:iCs/>
        </w:rPr>
        <w:t>.</w:t>
      </w:r>
      <w:r w:rsidRPr="00D70BCF">
        <w:rPr>
          <w:rFonts w:ascii="Arial" w:hAnsi="Arial" w:cs="Arial"/>
          <w:bCs/>
          <w:iCs/>
        </w:rPr>
        <w:t>i</w:t>
      </w:r>
      <w:r w:rsidR="00642027" w:rsidRPr="00D70BCF">
        <w:rPr>
          <w:rFonts w:ascii="Arial" w:hAnsi="Arial" w:cs="Arial"/>
          <w:bCs/>
          <w:iCs/>
        </w:rPr>
        <w:t>.</w:t>
      </w:r>
      <w:proofErr w:type="spellEnd"/>
      <w:r w:rsidRPr="00D70BCF">
        <w:rPr>
          <w:rFonts w:ascii="Arial" w:hAnsi="Arial" w:cs="Arial"/>
          <w:bCs/>
          <w:iCs/>
          <w:color w:val="000000"/>
        </w:rPr>
        <w:t xml:space="preserve"> </w:t>
      </w:r>
      <w:r w:rsidRPr="00D70BCF">
        <w:rPr>
          <w:rFonts w:ascii="Arial" w:hAnsi="Arial" w:cs="Arial"/>
          <w:color w:val="000000"/>
        </w:rPr>
        <w:t xml:space="preserve">al Capo V </w:t>
      </w:r>
      <w:r w:rsidRPr="00D70BCF">
        <w:rPr>
          <w:rFonts w:ascii="Arial" w:hAnsi="Arial" w:cs="Arial"/>
          <w:i/>
          <w:iCs/>
          <w:color w:val="000000"/>
        </w:rPr>
        <w:t>“Approvazione delle opere pubbliche e di interesse pubblico e delle modifiche agli insediamenti produttivi esistenti</w:t>
      </w:r>
      <w:r w:rsidRPr="00D70BCF">
        <w:rPr>
          <w:rFonts w:ascii="Arial" w:hAnsi="Arial" w:cs="Arial"/>
          <w:color w:val="000000"/>
        </w:rPr>
        <w:t xml:space="preserve">” disciplina all’art. 53, comma 1, lettera b) il procedimento unico per </w:t>
      </w:r>
      <w:r w:rsidRPr="00D70BCF">
        <w:rPr>
          <w:rFonts w:ascii="Arial" w:hAnsi="Arial" w:cs="Arial"/>
          <w:i/>
          <w:iCs/>
          <w:color w:val="000000"/>
        </w:rPr>
        <w:t>“interventi di ampliamento e ristrutturazione di fabbricati adibiti all’esercizio di impresa ovvero interventi di nuova costruzione di fabbricati o altri manufatti necessari per lo sviluppo e la trasformazione di attività economiche già insediate, nell’area di pertinenza delle stesse, in lotti contigui o circostanti, ovvero in aree collocate in prossimità delle medesime attività”;</w:t>
      </w:r>
    </w:p>
    <w:p w:rsidR="005B02B0" w:rsidRPr="00D70BCF" w:rsidRDefault="005B02B0" w:rsidP="005B02B0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76"/>
        <w:jc w:val="both"/>
        <w:rPr>
          <w:rFonts w:ascii="Arial" w:hAnsi="Arial" w:cs="Arial"/>
        </w:rPr>
      </w:pPr>
      <w:r w:rsidRPr="00D70BCF">
        <w:rPr>
          <w:rFonts w:ascii="Arial" w:hAnsi="Arial" w:cs="Arial"/>
          <w:color w:val="000000"/>
        </w:rPr>
        <w:t xml:space="preserve">che l’articolo 53, al comma 2, specifica altresì che </w:t>
      </w:r>
      <w:r w:rsidRPr="00D70BCF">
        <w:rPr>
          <w:rFonts w:ascii="Arial" w:hAnsi="Arial" w:cs="Arial"/>
          <w:i/>
          <w:iCs/>
          <w:color w:val="000000"/>
        </w:rPr>
        <w:t xml:space="preserve">“L’approvazione del progetto delle opere e interventi elencati al comma 1 attraverso il presente procedimento unico consente: a) di acquisire tutte le autorizzazioni, intese, concessioni, licenze, pareri, concerti, nulla osta e assensi, comunque denominati, necessari per la realizzazione dell’opera o intervento secondo la legislazione vigente; b) di approvare la localizzazione delle opere e interventi non previsti dal PUG, dall’accordo operativo o dal piano attuativo di iniziativa pubblica, ovvero in variante a tali strumenti o alla pianificazione territoriale vigente </w:t>
      </w:r>
      <w:r w:rsidRPr="00D70BCF">
        <w:rPr>
          <w:rFonts w:ascii="Arial" w:hAnsi="Arial" w:cs="Arial"/>
          <w:color w:val="000000"/>
        </w:rPr>
        <w:t>[omissis]</w:t>
      </w:r>
      <w:r w:rsidRPr="00D70BCF">
        <w:rPr>
          <w:rFonts w:ascii="Arial" w:hAnsi="Arial" w:cs="Arial"/>
          <w:i/>
          <w:iCs/>
          <w:color w:val="000000"/>
        </w:rPr>
        <w:t>”;</w:t>
      </w:r>
    </w:p>
    <w:p w:rsidR="005B02B0" w:rsidRPr="00D70BCF" w:rsidRDefault="005B02B0" w:rsidP="005B02B0">
      <w:pPr>
        <w:autoSpaceDE w:val="0"/>
        <w:autoSpaceDN w:val="0"/>
        <w:adjustRightInd w:val="0"/>
        <w:jc w:val="both"/>
        <w:rPr>
          <w:rFonts w:cs="Arial"/>
          <w:i/>
          <w:szCs w:val="24"/>
          <w:highlight w:val="yellow"/>
        </w:rPr>
      </w:pPr>
    </w:p>
    <w:p w:rsidR="005B02B0" w:rsidRPr="00D70BCF" w:rsidRDefault="005B02B0" w:rsidP="005B02B0">
      <w:pPr>
        <w:pStyle w:val="Paragrafoelenco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D70BCF">
        <w:rPr>
          <w:rFonts w:ascii="Arial" w:hAnsi="Arial" w:cs="Arial"/>
        </w:rPr>
        <w:t>ch</w:t>
      </w:r>
      <w:r w:rsidR="00642027" w:rsidRPr="00D70BCF">
        <w:rPr>
          <w:rFonts w:ascii="Arial" w:hAnsi="Arial" w:cs="Arial"/>
        </w:rPr>
        <w:t xml:space="preserve">e l’art. 53 comma </w:t>
      </w:r>
      <w:r w:rsidRPr="00D70BCF">
        <w:rPr>
          <w:rFonts w:ascii="Arial" w:hAnsi="Arial" w:cs="Arial"/>
        </w:rPr>
        <w:t>5 specifica che “</w:t>
      </w:r>
      <w:r w:rsidRPr="00D70BCF">
        <w:rPr>
          <w:rFonts w:ascii="Arial" w:hAnsi="Arial" w:cs="Arial"/>
          <w:i/>
        </w:rPr>
        <w:t xml:space="preserve">L’espressione della posizione definitiva degli enti titolari degli strumenti di pianificazione cui l’opera o l’intervento comporta variante è subordinata alla preventiva pronuncia degli organi consiliari, ovvero è soggetta, a pena di decadenza, a ratifica da parte dei medesimi organi entro trenta giorni dall’assunzione della determinazione conclusiva della conferenza di servizi di cui al comma </w:t>
      </w:r>
      <w:smartTag w:uri="urn:schemas-microsoft-com:office:smarttags" w:element="metricconverter">
        <w:smartTagPr>
          <w:attr w:name="ProductID" w:val="9.”"/>
        </w:smartTagPr>
        <w:r w:rsidRPr="00D70BCF">
          <w:rPr>
            <w:rFonts w:ascii="Arial" w:hAnsi="Arial" w:cs="Arial"/>
            <w:i/>
          </w:rPr>
          <w:t>9.”</w:t>
        </w:r>
      </w:smartTag>
      <w:r w:rsidRPr="00D70BCF">
        <w:rPr>
          <w:rFonts w:ascii="Arial" w:hAnsi="Arial" w:cs="Arial"/>
          <w:i/>
        </w:rPr>
        <w:t>;</w:t>
      </w:r>
    </w:p>
    <w:p w:rsidR="00CB792E" w:rsidRPr="00D70BCF" w:rsidRDefault="00CB792E" w:rsidP="00571AA3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0D62D2" w:rsidRPr="00D70BCF" w:rsidRDefault="008E43E5" w:rsidP="00AB68B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>che il</w:t>
      </w:r>
      <w:r w:rsidR="003717DF" w:rsidRPr="00D70BCF">
        <w:rPr>
          <w:rFonts w:cs="Arial"/>
          <w:szCs w:val="24"/>
        </w:rPr>
        <w:t xml:space="preserve"> PSC ricomprende il</w:t>
      </w:r>
      <w:r w:rsidRPr="00D70BCF">
        <w:rPr>
          <w:rFonts w:cs="Arial"/>
          <w:szCs w:val="24"/>
        </w:rPr>
        <w:t xml:space="preserve"> progetto di potenziamento del dis</w:t>
      </w:r>
      <w:r w:rsidR="00313A6E" w:rsidRPr="00D70BCF">
        <w:rPr>
          <w:rFonts w:cs="Arial"/>
          <w:szCs w:val="24"/>
        </w:rPr>
        <w:t>t</w:t>
      </w:r>
      <w:r w:rsidRPr="00D70BCF">
        <w:rPr>
          <w:rFonts w:cs="Arial"/>
          <w:szCs w:val="24"/>
        </w:rPr>
        <w:t xml:space="preserve">ributore carburanti oggetto di intervento </w:t>
      </w:r>
      <w:r w:rsidR="003717DF" w:rsidRPr="00D70BCF">
        <w:rPr>
          <w:rFonts w:cs="Arial"/>
          <w:szCs w:val="24"/>
        </w:rPr>
        <w:t>come</w:t>
      </w:r>
      <w:r w:rsidRPr="00D70BCF">
        <w:rPr>
          <w:rFonts w:cs="Arial"/>
          <w:szCs w:val="24"/>
        </w:rPr>
        <w:t xml:space="preserve"> struttura insediativa denominata “</w:t>
      </w:r>
      <w:proofErr w:type="spellStart"/>
      <w:r w:rsidR="00F25796" w:rsidRPr="00D70BCF">
        <w:rPr>
          <w:rFonts w:cs="Arial"/>
          <w:szCs w:val="24"/>
        </w:rPr>
        <w:t>Malborghetto</w:t>
      </w:r>
      <w:proofErr w:type="spellEnd"/>
      <w:r w:rsidR="00F25796" w:rsidRPr="00D70BCF">
        <w:rPr>
          <w:rFonts w:cs="Arial"/>
          <w:szCs w:val="24"/>
        </w:rPr>
        <w:t xml:space="preserve"> B, </w:t>
      </w:r>
      <w:proofErr w:type="spellStart"/>
      <w:r w:rsidR="00F25796" w:rsidRPr="00D70BCF">
        <w:rPr>
          <w:rFonts w:cs="Arial"/>
          <w:szCs w:val="24"/>
        </w:rPr>
        <w:t>Pontegradella</w:t>
      </w:r>
      <w:proofErr w:type="spellEnd"/>
      <w:r w:rsidR="00F25796" w:rsidRPr="00D70BCF">
        <w:rPr>
          <w:rFonts w:cs="Arial"/>
          <w:szCs w:val="24"/>
        </w:rPr>
        <w:t xml:space="preserve">, </w:t>
      </w:r>
      <w:proofErr w:type="spellStart"/>
      <w:r w:rsidR="00F25796" w:rsidRPr="00D70BCF">
        <w:rPr>
          <w:rFonts w:cs="Arial"/>
          <w:szCs w:val="24"/>
        </w:rPr>
        <w:lastRenderedPageBreak/>
        <w:t>Focomorto</w:t>
      </w:r>
      <w:proofErr w:type="spellEnd"/>
      <w:r w:rsidR="00F25796" w:rsidRPr="00D70BCF">
        <w:rPr>
          <w:rFonts w:cs="Arial"/>
          <w:szCs w:val="24"/>
        </w:rPr>
        <w:t xml:space="preserve">, </w:t>
      </w:r>
      <w:proofErr w:type="spellStart"/>
      <w:r w:rsidR="00F25796" w:rsidRPr="00D70BCF">
        <w:rPr>
          <w:rFonts w:cs="Arial"/>
          <w:szCs w:val="24"/>
        </w:rPr>
        <w:t>Boara</w:t>
      </w:r>
      <w:proofErr w:type="spellEnd"/>
      <w:r w:rsidR="00F25796" w:rsidRPr="00D70BCF">
        <w:rPr>
          <w:rFonts w:cs="Arial"/>
          <w:szCs w:val="24"/>
        </w:rPr>
        <w:t>”, a Nord - E</w:t>
      </w:r>
      <w:r w:rsidRPr="00D70BCF">
        <w:rPr>
          <w:rFonts w:cs="Arial"/>
          <w:szCs w:val="24"/>
        </w:rPr>
        <w:t>st rispet</w:t>
      </w:r>
      <w:r w:rsidR="00F25796" w:rsidRPr="00D70BCF">
        <w:rPr>
          <w:rFonts w:cs="Arial"/>
          <w:szCs w:val="24"/>
        </w:rPr>
        <w:t xml:space="preserve">to al centro storico di Ferrara, </w:t>
      </w:r>
      <w:r w:rsidR="000D62D2" w:rsidRPr="00D70BCF">
        <w:rPr>
          <w:rFonts w:cs="Arial"/>
          <w:szCs w:val="24"/>
        </w:rPr>
        <w:t xml:space="preserve">in area </w:t>
      </w:r>
      <w:r w:rsidR="00F25796" w:rsidRPr="00D70BCF">
        <w:rPr>
          <w:rFonts w:cs="Arial"/>
          <w:bCs/>
          <w:iCs/>
          <w:szCs w:val="24"/>
        </w:rPr>
        <w:t xml:space="preserve">censita al NCF al Foglio 138, Mappale 1065, di proprietà della stessa </w:t>
      </w:r>
      <w:r w:rsidR="00F25796" w:rsidRPr="00D70BCF">
        <w:rPr>
          <w:rFonts w:cs="Arial"/>
          <w:szCs w:val="24"/>
        </w:rPr>
        <w:t xml:space="preserve">Vega Carburanti </w:t>
      </w:r>
      <w:proofErr w:type="spellStart"/>
      <w:r w:rsidR="00F25796" w:rsidRPr="00D70BCF">
        <w:rPr>
          <w:rFonts w:cs="Arial"/>
          <w:szCs w:val="24"/>
        </w:rPr>
        <w:t>S.p.A</w:t>
      </w:r>
      <w:proofErr w:type="spellEnd"/>
      <w:r w:rsidR="003717DF" w:rsidRPr="00D70BCF">
        <w:rPr>
          <w:rFonts w:cs="Arial"/>
          <w:szCs w:val="24"/>
        </w:rPr>
        <w:t xml:space="preserve"> ed </w:t>
      </w:r>
      <w:r w:rsidR="004B7178" w:rsidRPr="00D70BCF">
        <w:rPr>
          <w:rFonts w:cs="Arial"/>
          <w:szCs w:val="24"/>
        </w:rPr>
        <w:t>i</w:t>
      </w:r>
      <w:r w:rsidR="000D62D2" w:rsidRPr="00D70BCF">
        <w:rPr>
          <w:rFonts w:cs="Arial"/>
          <w:szCs w:val="24"/>
        </w:rPr>
        <w:t>dentifica l’area come Sistema ambientale e delle dotazioni collettive art. 10 - Sub sistema mitigazione e compensazione ambientale art. 10.5; i</w:t>
      </w:r>
      <w:r w:rsidR="00F25796" w:rsidRPr="00D70BCF">
        <w:rPr>
          <w:rFonts w:cs="Arial"/>
          <w:szCs w:val="24"/>
        </w:rPr>
        <w:t>l RUE individua l’area di intervento come area demandat</w:t>
      </w:r>
      <w:r w:rsidR="00AB68BF" w:rsidRPr="00D70BCF">
        <w:rPr>
          <w:rFonts w:cs="Arial"/>
          <w:szCs w:val="24"/>
        </w:rPr>
        <w:t>a</w:t>
      </w:r>
      <w:r w:rsidR="00F25796" w:rsidRPr="00D70BCF">
        <w:rPr>
          <w:rFonts w:cs="Arial"/>
          <w:szCs w:val="24"/>
        </w:rPr>
        <w:t xml:space="preserve"> a POC</w:t>
      </w:r>
      <w:r w:rsidR="00AB68BF" w:rsidRPr="00D70BCF">
        <w:rPr>
          <w:rFonts w:cs="Arial"/>
          <w:szCs w:val="24"/>
        </w:rPr>
        <w:t>;</w:t>
      </w:r>
    </w:p>
    <w:p w:rsidR="000D62D2" w:rsidRPr="00D70BCF" w:rsidRDefault="000D62D2" w:rsidP="000D62D2">
      <w:pPr>
        <w:pStyle w:val="Paragrafoelenco"/>
        <w:rPr>
          <w:rFonts w:ascii="Arial" w:hAnsi="Arial" w:cs="Arial"/>
        </w:rPr>
      </w:pPr>
    </w:p>
    <w:p w:rsidR="0032568E" w:rsidRPr="00D70BCF" w:rsidRDefault="0032568E" w:rsidP="00AB68B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 xml:space="preserve">che </w:t>
      </w:r>
      <w:r w:rsidR="000D62D2" w:rsidRPr="00D70BCF">
        <w:rPr>
          <w:rFonts w:cs="Arial"/>
          <w:szCs w:val="24"/>
        </w:rPr>
        <w:t xml:space="preserve">le aree POC sono </w:t>
      </w:r>
      <w:proofErr w:type="spellStart"/>
      <w:r w:rsidR="000D62D2" w:rsidRPr="00D70BCF">
        <w:rPr>
          <w:rFonts w:cs="Arial"/>
          <w:szCs w:val="24"/>
        </w:rPr>
        <w:t>normate</w:t>
      </w:r>
      <w:proofErr w:type="spellEnd"/>
      <w:r w:rsidR="000D62D2" w:rsidRPr="00D70BCF">
        <w:rPr>
          <w:rFonts w:cs="Arial"/>
          <w:szCs w:val="24"/>
        </w:rPr>
        <w:t xml:space="preserve"> dal RUE vigente agli artt. 100.5 - Indice di copertura e rapporto di verde, 101.5 – Altezza degli edifici, 102.5 – Densità edilizia, 105.5</w:t>
      </w:r>
      <w:r w:rsidR="0040302A" w:rsidRPr="00D70BCF">
        <w:rPr>
          <w:rFonts w:cs="Arial"/>
          <w:szCs w:val="24"/>
        </w:rPr>
        <w:t xml:space="preserve"> – Destinazioni d’uso. L’intervento proposto prevede un aumento della Superficie Utile in contrasto con l’art. 105.5 del RUE vigente che </w:t>
      </w:r>
      <w:r w:rsidR="00494FF9" w:rsidRPr="00D70BCF">
        <w:rPr>
          <w:rFonts w:cs="Arial"/>
          <w:szCs w:val="24"/>
        </w:rPr>
        <w:t>in</w:t>
      </w:r>
      <w:r w:rsidR="0040302A" w:rsidRPr="00D70BCF">
        <w:rPr>
          <w:rFonts w:cs="Arial"/>
          <w:szCs w:val="24"/>
        </w:rPr>
        <w:t xml:space="preserve"> area POC non consente aumento della densità edilizia IF;</w:t>
      </w:r>
      <w:r w:rsidR="000D62D2" w:rsidRPr="00D70BCF">
        <w:rPr>
          <w:rFonts w:cs="Arial"/>
          <w:szCs w:val="24"/>
        </w:rPr>
        <w:t xml:space="preserve"> </w:t>
      </w:r>
    </w:p>
    <w:p w:rsidR="00C61020" w:rsidRPr="00D70BCF" w:rsidRDefault="00C61020" w:rsidP="00C61020">
      <w:pPr>
        <w:pStyle w:val="Paragrafoelenco"/>
        <w:rPr>
          <w:rFonts w:ascii="Arial" w:hAnsi="Arial" w:cs="Arial"/>
        </w:rPr>
      </w:pPr>
    </w:p>
    <w:p w:rsidR="00C61020" w:rsidRPr="00D70BCF" w:rsidRDefault="00C61020" w:rsidP="00AB68B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>che la DGR 2065/2019 impone, agli impianti di distributore carburanti che hanno erogato durante l’anno 2017, come nel caso in esame</w:t>
      </w:r>
      <w:r w:rsidR="00A01FB0" w:rsidRPr="00D70BCF">
        <w:rPr>
          <w:rFonts w:cs="Arial"/>
          <w:szCs w:val="24"/>
        </w:rPr>
        <w:t>,</w:t>
      </w:r>
      <w:r w:rsidRPr="00D70BCF">
        <w:rPr>
          <w:rFonts w:cs="Arial"/>
          <w:szCs w:val="24"/>
        </w:rPr>
        <w:t xml:space="preserve"> un complessivo di benzina e gasolio superiore a 5.000.000 </w:t>
      </w:r>
      <w:proofErr w:type="spellStart"/>
      <w:r w:rsidRPr="00D70BCF">
        <w:rPr>
          <w:rFonts w:cs="Arial"/>
          <w:szCs w:val="24"/>
        </w:rPr>
        <w:t>lt</w:t>
      </w:r>
      <w:proofErr w:type="spellEnd"/>
      <w:r w:rsidRPr="00D70BCF">
        <w:rPr>
          <w:rFonts w:cs="Arial"/>
          <w:szCs w:val="24"/>
        </w:rPr>
        <w:t>, in province che hanno superato il limite di PM10, di dotarsi di infrastrutture di ricarica elettrica nonché di distribuzione di GNC o GNL;</w:t>
      </w:r>
    </w:p>
    <w:p w:rsidR="0032568E" w:rsidRPr="00D70BCF" w:rsidRDefault="0032568E" w:rsidP="0032568E">
      <w:pPr>
        <w:pStyle w:val="Paragrafoelenco"/>
        <w:rPr>
          <w:rFonts w:cs="Arial"/>
        </w:rPr>
      </w:pPr>
    </w:p>
    <w:p w:rsidR="00321AA3" w:rsidRPr="00D70BCF" w:rsidRDefault="00A01FB0" w:rsidP="005A4F03">
      <w:pPr>
        <w:pStyle w:val="Paragrafoelenco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trike/>
        </w:rPr>
      </w:pPr>
      <w:r w:rsidRPr="00D70BCF">
        <w:rPr>
          <w:rFonts w:ascii="Arial" w:hAnsi="Arial" w:cs="Arial"/>
        </w:rPr>
        <w:t xml:space="preserve">che </w:t>
      </w:r>
      <w:r w:rsidR="00A723FA" w:rsidRPr="00D70BCF">
        <w:rPr>
          <w:rFonts w:ascii="Arial" w:hAnsi="Arial" w:cs="Arial"/>
        </w:rPr>
        <w:t>l’approvazione di detto progetto di potenziamento</w:t>
      </w:r>
      <w:r w:rsidR="006A6D88" w:rsidRPr="00D70BCF">
        <w:rPr>
          <w:rFonts w:ascii="Arial" w:hAnsi="Arial" w:cs="Arial"/>
        </w:rPr>
        <w:t xml:space="preserve">, essendo </w:t>
      </w:r>
      <w:r w:rsidR="00784470" w:rsidRPr="00D70BCF">
        <w:rPr>
          <w:rFonts w:ascii="Arial" w:hAnsi="Arial" w:cs="Arial"/>
        </w:rPr>
        <w:t xml:space="preserve">in contrasto con la strumentazione urbanistica vigente </w:t>
      </w:r>
      <w:r w:rsidR="006A6D88" w:rsidRPr="00D70BCF">
        <w:rPr>
          <w:rFonts w:ascii="Arial" w:hAnsi="Arial" w:cs="Arial"/>
        </w:rPr>
        <w:t xml:space="preserve">in quanto prevede l’aumento della Superficie Utile in un’area (individuata  come DST “distributore carburanti”) </w:t>
      </w:r>
      <w:r w:rsidR="008370DA" w:rsidRPr="00D70BCF">
        <w:rPr>
          <w:rFonts w:ascii="Arial" w:hAnsi="Arial" w:cs="Arial"/>
        </w:rPr>
        <w:t>soggetta a POC</w:t>
      </w:r>
      <w:r w:rsidR="006A6D88" w:rsidRPr="00D70BCF">
        <w:rPr>
          <w:rFonts w:ascii="Arial" w:hAnsi="Arial" w:cs="Arial"/>
        </w:rPr>
        <w:t xml:space="preserve">, </w:t>
      </w:r>
      <w:r w:rsidR="00A723FA" w:rsidRPr="00D70BCF">
        <w:rPr>
          <w:rFonts w:ascii="Arial" w:hAnsi="Arial" w:cs="Arial"/>
        </w:rPr>
        <w:t>comporterà</w:t>
      </w:r>
      <w:r w:rsidR="006A6D88" w:rsidRPr="00D70BCF">
        <w:rPr>
          <w:rFonts w:ascii="Arial" w:hAnsi="Arial" w:cs="Arial"/>
        </w:rPr>
        <w:t>, ai sensi dell’art. 53 della LR 24/2017,</w:t>
      </w:r>
      <w:r w:rsidR="00A723FA" w:rsidRPr="00D70BCF">
        <w:rPr>
          <w:rFonts w:ascii="Arial" w:hAnsi="Arial" w:cs="Arial"/>
        </w:rPr>
        <w:t xml:space="preserve"> la conformazione della pianificazione urbanistica vigente al</w:t>
      </w:r>
      <w:r w:rsidR="00784470" w:rsidRPr="00D70BCF">
        <w:rPr>
          <w:rFonts w:ascii="Arial" w:hAnsi="Arial" w:cs="Arial"/>
        </w:rPr>
        <w:t>lo stesso</w:t>
      </w:r>
      <w:r w:rsidR="008370DA" w:rsidRPr="00D70BCF">
        <w:rPr>
          <w:rFonts w:ascii="Arial" w:hAnsi="Arial" w:cs="Arial"/>
        </w:rPr>
        <w:t xml:space="preserve"> progetto</w:t>
      </w:r>
      <w:r w:rsidR="006A6D88" w:rsidRPr="00D70BCF">
        <w:rPr>
          <w:rFonts w:ascii="Arial" w:hAnsi="Arial" w:cs="Arial"/>
        </w:rPr>
        <w:t>; n</w:t>
      </w:r>
      <w:r w:rsidR="00784470" w:rsidRPr="00D70BCF">
        <w:rPr>
          <w:rFonts w:ascii="Arial" w:hAnsi="Arial" w:cs="Arial"/>
        </w:rPr>
        <w:t xml:space="preserve">el caso specifico </w:t>
      </w:r>
      <w:r w:rsidR="00C61020" w:rsidRPr="00D70BCF">
        <w:rPr>
          <w:rFonts w:ascii="Arial" w:hAnsi="Arial" w:cs="Arial"/>
        </w:rPr>
        <w:t xml:space="preserve">si rende </w:t>
      </w:r>
      <w:r w:rsidR="00AB68BF" w:rsidRPr="00D70BCF">
        <w:rPr>
          <w:rFonts w:ascii="Arial" w:hAnsi="Arial" w:cs="Arial"/>
        </w:rPr>
        <w:t>necess</w:t>
      </w:r>
      <w:r w:rsidR="0017219C" w:rsidRPr="00D70BCF">
        <w:rPr>
          <w:rFonts w:ascii="Arial" w:hAnsi="Arial" w:cs="Arial"/>
        </w:rPr>
        <w:t>aria</w:t>
      </w:r>
      <w:r w:rsidR="00AB68BF" w:rsidRPr="00D70BCF">
        <w:rPr>
          <w:rFonts w:ascii="Arial" w:hAnsi="Arial" w:cs="Arial"/>
        </w:rPr>
        <w:t xml:space="preserve"> una variante </w:t>
      </w:r>
      <w:r w:rsidR="00784470" w:rsidRPr="00D70BCF">
        <w:rPr>
          <w:rFonts w:ascii="Arial" w:hAnsi="Arial" w:cs="Arial"/>
        </w:rPr>
        <w:t>al POC 2</w:t>
      </w:r>
      <w:r w:rsidR="0017410F" w:rsidRPr="00D70BCF">
        <w:rPr>
          <w:rFonts w:ascii="Arial" w:hAnsi="Arial" w:cs="Arial"/>
        </w:rPr>
        <w:t xml:space="preserve"> (</w:t>
      </w:r>
      <w:r w:rsidR="008370DA" w:rsidRPr="00D70BCF">
        <w:rPr>
          <w:rFonts w:ascii="Arial" w:hAnsi="Arial" w:cs="Arial"/>
        </w:rPr>
        <w:t xml:space="preserve">di cui agli </w:t>
      </w:r>
      <w:r w:rsidR="0017410F" w:rsidRPr="00D70BCF">
        <w:rPr>
          <w:rFonts w:ascii="Arial" w:hAnsi="Arial" w:cs="Arial"/>
        </w:rPr>
        <w:t>elaborati sotto elencati);</w:t>
      </w:r>
    </w:p>
    <w:p w:rsidR="003B046B" w:rsidRPr="00D70BCF" w:rsidRDefault="003B046B" w:rsidP="003B046B">
      <w:pPr>
        <w:autoSpaceDE w:val="0"/>
        <w:autoSpaceDN w:val="0"/>
        <w:adjustRightInd w:val="0"/>
        <w:jc w:val="both"/>
        <w:rPr>
          <w:rFonts w:cs="Arial"/>
          <w:szCs w:val="24"/>
          <w:highlight w:val="yellow"/>
        </w:rPr>
      </w:pPr>
    </w:p>
    <w:p w:rsidR="00FF20D5" w:rsidRPr="00D70BCF" w:rsidRDefault="00D7754F" w:rsidP="003B046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 xml:space="preserve">che </w:t>
      </w:r>
      <w:r w:rsidR="00412E32" w:rsidRPr="00D70BCF">
        <w:rPr>
          <w:rFonts w:ascii="Arial" w:hAnsi="Arial" w:cs="Arial"/>
        </w:rPr>
        <w:t>il progetto</w:t>
      </w:r>
      <w:r w:rsidR="000F650F" w:rsidRPr="00D70BCF">
        <w:rPr>
          <w:rFonts w:ascii="Arial" w:hAnsi="Arial" w:cs="Arial"/>
        </w:rPr>
        <w:t xml:space="preserve"> </w:t>
      </w:r>
      <w:r w:rsidR="00412E32" w:rsidRPr="00D70BCF">
        <w:rPr>
          <w:rFonts w:ascii="Arial" w:hAnsi="Arial" w:cs="Arial"/>
        </w:rPr>
        <w:t>consiste nel</w:t>
      </w:r>
      <w:r w:rsidRPr="00D70BCF">
        <w:rPr>
          <w:rFonts w:ascii="Arial" w:hAnsi="Arial" w:cs="Arial"/>
        </w:rPr>
        <w:t xml:space="preserve">la realizzazione di manufatti </w:t>
      </w:r>
      <w:r w:rsidR="005A6820" w:rsidRPr="00D70BCF">
        <w:rPr>
          <w:rFonts w:ascii="Arial" w:hAnsi="Arial" w:cs="Arial"/>
        </w:rPr>
        <w:t>e</w:t>
      </w:r>
      <w:r w:rsidRPr="00D70BCF">
        <w:rPr>
          <w:rFonts w:ascii="Arial" w:hAnsi="Arial" w:cs="Arial"/>
        </w:rPr>
        <w:t xml:space="preserve"> attrezzature per la distribuzione del prodotto metano GNC. </w:t>
      </w:r>
      <w:r w:rsidR="005A6820" w:rsidRPr="00D70BCF">
        <w:rPr>
          <w:rFonts w:ascii="Arial" w:hAnsi="Arial" w:cs="Arial"/>
        </w:rPr>
        <w:t>La pensilina dell’area di rifornimento, p</w:t>
      </w:r>
      <w:r w:rsidRPr="00D70BCF">
        <w:rPr>
          <w:rFonts w:ascii="Arial" w:hAnsi="Arial" w:cs="Arial"/>
        </w:rPr>
        <w:t xml:space="preserve">er </w:t>
      </w:r>
      <w:r w:rsidR="00412E32" w:rsidRPr="00D70BCF">
        <w:rPr>
          <w:rFonts w:ascii="Arial" w:hAnsi="Arial" w:cs="Arial"/>
        </w:rPr>
        <w:t>l’inserimento</w:t>
      </w:r>
      <w:r w:rsidRPr="00D70BCF">
        <w:rPr>
          <w:rFonts w:ascii="Arial" w:hAnsi="Arial" w:cs="Arial"/>
        </w:rPr>
        <w:t xml:space="preserve"> della colonnina del metano</w:t>
      </w:r>
      <w:r w:rsidR="005A6820" w:rsidRPr="00D70BCF">
        <w:rPr>
          <w:rFonts w:ascii="Arial" w:hAnsi="Arial" w:cs="Arial"/>
        </w:rPr>
        <w:t>,</w:t>
      </w:r>
      <w:r w:rsidRPr="00D70BCF">
        <w:rPr>
          <w:rFonts w:ascii="Arial" w:hAnsi="Arial" w:cs="Arial"/>
        </w:rPr>
        <w:t xml:space="preserve"> verrà ampliata </w:t>
      </w:r>
      <w:r w:rsidR="005A6820" w:rsidRPr="00D70BCF">
        <w:rPr>
          <w:rFonts w:ascii="Arial" w:hAnsi="Arial" w:cs="Arial"/>
        </w:rPr>
        <w:t xml:space="preserve">in continuità con l’esistente </w:t>
      </w:r>
      <w:r w:rsidR="00412E32" w:rsidRPr="00D70BCF">
        <w:rPr>
          <w:rFonts w:ascii="Arial" w:hAnsi="Arial" w:cs="Arial"/>
        </w:rPr>
        <w:t>anche se</w:t>
      </w:r>
      <w:r w:rsidR="005A6820" w:rsidRPr="00D70BCF">
        <w:rPr>
          <w:rFonts w:ascii="Arial" w:hAnsi="Arial" w:cs="Arial"/>
        </w:rPr>
        <w:t xml:space="preserve"> staticamente indipendente</w:t>
      </w:r>
      <w:r w:rsidR="00412E32" w:rsidRPr="00D70BCF">
        <w:rPr>
          <w:rFonts w:ascii="Arial" w:hAnsi="Arial" w:cs="Arial"/>
        </w:rPr>
        <w:t>;</w:t>
      </w:r>
      <w:r w:rsidR="005A6820" w:rsidRPr="00D70BCF">
        <w:rPr>
          <w:rFonts w:ascii="Arial" w:hAnsi="Arial" w:cs="Arial"/>
        </w:rPr>
        <w:t xml:space="preserve"> sarà</w:t>
      </w:r>
      <w:r w:rsidR="005219E2" w:rsidRPr="00D70BCF">
        <w:rPr>
          <w:rFonts w:ascii="Arial" w:hAnsi="Arial" w:cs="Arial"/>
        </w:rPr>
        <w:t xml:space="preserve"> inoltre</w:t>
      </w:r>
      <w:r w:rsidR="005A6820" w:rsidRPr="00D70BCF">
        <w:rPr>
          <w:rFonts w:ascii="Arial" w:hAnsi="Arial" w:cs="Arial"/>
        </w:rPr>
        <w:t xml:space="preserve"> realizzato un modulo per l’alloggiamento dei compressori e </w:t>
      </w:r>
      <w:r w:rsidR="00412E32" w:rsidRPr="00D70BCF">
        <w:rPr>
          <w:rFonts w:ascii="Arial" w:hAnsi="Arial" w:cs="Arial"/>
        </w:rPr>
        <w:t>del</w:t>
      </w:r>
      <w:r w:rsidR="005A6820" w:rsidRPr="00D70BCF">
        <w:rPr>
          <w:rFonts w:ascii="Arial" w:hAnsi="Arial" w:cs="Arial"/>
        </w:rPr>
        <w:t>le apparecchiature per il funzionamento degli erogatori del metano</w:t>
      </w:r>
      <w:r w:rsidR="00412E32" w:rsidRPr="00D70BCF">
        <w:rPr>
          <w:rFonts w:ascii="Arial" w:hAnsi="Arial" w:cs="Arial"/>
        </w:rPr>
        <w:t>,</w:t>
      </w:r>
      <w:r w:rsidR="005A6820" w:rsidRPr="00D70BCF">
        <w:rPr>
          <w:rFonts w:ascii="Arial" w:hAnsi="Arial" w:cs="Arial"/>
        </w:rPr>
        <w:t xml:space="preserve"> </w:t>
      </w:r>
      <w:r w:rsidR="005219E2" w:rsidRPr="00D70BCF">
        <w:rPr>
          <w:rFonts w:ascii="Arial" w:hAnsi="Arial" w:cs="Arial"/>
        </w:rPr>
        <w:t xml:space="preserve">oltre che </w:t>
      </w:r>
      <w:r w:rsidR="0000124C" w:rsidRPr="00D70BCF">
        <w:rPr>
          <w:rFonts w:ascii="Arial" w:hAnsi="Arial" w:cs="Arial"/>
        </w:rPr>
        <w:t>un</w:t>
      </w:r>
      <w:r w:rsidR="005219E2" w:rsidRPr="00D70BCF">
        <w:rPr>
          <w:rFonts w:ascii="Arial" w:hAnsi="Arial" w:cs="Arial"/>
        </w:rPr>
        <w:t>a</w:t>
      </w:r>
      <w:r w:rsidR="0000124C" w:rsidRPr="00D70BCF">
        <w:rPr>
          <w:rFonts w:ascii="Arial" w:hAnsi="Arial" w:cs="Arial"/>
        </w:rPr>
        <w:t xml:space="preserve"> colonnina di ricarica elettrica e</w:t>
      </w:r>
      <w:r w:rsidR="005219E2" w:rsidRPr="00D70BCF">
        <w:rPr>
          <w:rFonts w:ascii="Arial" w:hAnsi="Arial" w:cs="Arial"/>
        </w:rPr>
        <w:t xml:space="preserve"> una nuova cabina di trasformazione Enel</w:t>
      </w:r>
      <w:r w:rsidR="0000124C" w:rsidRPr="00D70BCF">
        <w:rPr>
          <w:rFonts w:ascii="Arial" w:hAnsi="Arial" w:cs="Arial"/>
        </w:rPr>
        <w:t xml:space="preserve"> per garantire una sufficiente fornitura di energia elettrica;</w:t>
      </w:r>
    </w:p>
    <w:p w:rsidR="00D7754F" w:rsidRPr="00D70BCF" w:rsidRDefault="005A6820" w:rsidP="00FF20D5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 xml:space="preserve"> </w:t>
      </w:r>
      <w:r w:rsidR="00D7754F" w:rsidRPr="00D70BCF">
        <w:rPr>
          <w:rFonts w:cs="Arial"/>
          <w:szCs w:val="24"/>
        </w:rPr>
        <w:t xml:space="preserve">   </w:t>
      </w:r>
    </w:p>
    <w:p w:rsidR="00FF20D5" w:rsidRPr="00D70BCF" w:rsidRDefault="00FF20D5" w:rsidP="00FF20D5">
      <w:pPr>
        <w:pStyle w:val="Paragrafoelenco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>che l’intervento si sviluppa su una ST di 8.726 mq ed una SF di 6.350  mq, la nuova pensilina a copertura degli elementi eroganti ha una SU di 67,50 mq che aggiunta a quella esistente, quantificata in 614 mq., ammonta complessivamente a</w:t>
      </w:r>
      <w:r w:rsidR="004B7178" w:rsidRPr="00D70BCF">
        <w:rPr>
          <w:rFonts w:ascii="Arial" w:hAnsi="Arial" w:cs="Arial"/>
        </w:rPr>
        <w:t xml:space="preserve"> </w:t>
      </w:r>
      <w:r w:rsidRPr="00D70BCF">
        <w:rPr>
          <w:rFonts w:ascii="Arial" w:hAnsi="Arial" w:cs="Arial"/>
        </w:rPr>
        <w:t xml:space="preserve">mq. 682;  il vano tecnico e la cabina elettrica sono esclusi dai computi della SU e della SA.  </w:t>
      </w:r>
      <w:r w:rsidRPr="00D70BCF">
        <w:rPr>
          <w:rFonts w:ascii="Arial" w:hAnsi="Arial" w:cs="Arial"/>
          <w:bCs/>
          <w:color w:val="222222"/>
        </w:rPr>
        <w:t>Non sono previsti mutamenti della destinazione d’uso</w:t>
      </w:r>
      <w:r w:rsidRPr="00D70BCF">
        <w:rPr>
          <w:rFonts w:ascii="Arial" w:hAnsi="Arial" w:cs="Arial"/>
        </w:rPr>
        <w:t xml:space="preserve"> 6c, l’area è già individuata come ”Distribuzione carburanti”</w:t>
      </w:r>
      <w:r w:rsidRPr="00D70BCF">
        <w:rPr>
          <w:rFonts w:ascii="Arial" w:hAnsi="Arial" w:cs="Arial"/>
          <w:bCs/>
          <w:color w:val="222222"/>
        </w:rPr>
        <w:t>; per detto uso non sono dovute dotazioni territoriali;</w:t>
      </w:r>
    </w:p>
    <w:p w:rsidR="003B046B" w:rsidRPr="00D70BCF" w:rsidRDefault="003B046B" w:rsidP="003B046B">
      <w:pPr>
        <w:pStyle w:val="Corpodeltesto"/>
        <w:rPr>
          <w:rFonts w:cs="Arial"/>
          <w:szCs w:val="24"/>
          <w:highlight w:val="yellow"/>
        </w:rPr>
      </w:pPr>
    </w:p>
    <w:p w:rsidR="00D6196E" w:rsidRPr="00D70BCF" w:rsidRDefault="00911484" w:rsidP="00A84849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D70BCF">
        <w:rPr>
          <w:rFonts w:cs="Arial"/>
          <w:bCs/>
          <w:iCs/>
          <w:szCs w:val="24"/>
        </w:rPr>
        <w:t xml:space="preserve">che il </w:t>
      </w:r>
      <w:r w:rsidR="00803E70" w:rsidRPr="00D70BCF">
        <w:rPr>
          <w:rFonts w:cs="Arial"/>
          <w:bCs/>
          <w:iCs/>
          <w:szCs w:val="24"/>
        </w:rPr>
        <w:t>P</w:t>
      </w:r>
      <w:r w:rsidRPr="00D70BCF">
        <w:rPr>
          <w:rFonts w:cs="Arial"/>
          <w:bCs/>
          <w:iCs/>
          <w:szCs w:val="24"/>
        </w:rPr>
        <w:t xml:space="preserve">rocedimento Unico comprende </w:t>
      </w:r>
      <w:r w:rsidR="00803E70" w:rsidRPr="00D70BCF">
        <w:rPr>
          <w:rFonts w:cs="Arial"/>
          <w:bCs/>
          <w:iCs/>
          <w:szCs w:val="24"/>
        </w:rPr>
        <w:t xml:space="preserve">altresì </w:t>
      </w:r>
      <w:r w:rsidRPr="00D70BCF">
        <w:rPr>
          <w:rFonts w:cs="Arial"/>
          <w:bCs/>
          <w:iCs/>
          <w:szCs w:val="24"/>
        </w:rPr>
        <w:t xml:space="preserve">la richiesta di modifica </w:t>
      </w:r>
      <w:r w:rsidR="00055F5D" w:rsidRPr="00D70BCF">
        <w:rPr>
          <w:rFonts w:cs="Arial"/>
          <w:bCs/>
          <w:iCs/>
          <w:szCs w:val="24"/>
        </w:rPr>
        <w:t xml:space="preserve">non sostanziale </w:t>
      </w:r>
      <w:r w:rsidRPr="00D70BCF">
        <w:rPr>
          <w:rFonts w:cs="Arial"/>
          <w:bCs/>
          <w:iCs/>
          <w:szCs w:val="24"/>
        </w:rPr>
        <w:t>di Autori</w:t>
      </w:r>
      <w:r w:rsidR="00803E70" w:rsidRPr="00D70BCF">
        <w:rPr>
          <w:rFonts w:cs="Arial"/>
          <w:bCs/>
          <w:iCs/>
          <w:szCs w:val="24"/>
        </w:rPr>
        <w:t>zzazione Unica Ambientale (AUA)</w:t>
      </w:r>
      <w:r w:rsidR="003B4D8C" w:rsidRPr="00D70BCF">
        <w:rPr>
          <w:rFonts w:cs="Arial"/>
          <w:bCs/>
          <w:iCs/>
          <w:szCs w:val="24"/>
        </w:rPr>
        <w:t>;</w:t>
      </w:r>
      <w:r w:rsidR="00803E70" w:rsidRPr="00D70BCF">
        <w:rPr>
          <w:rFonts w:cs="Arial"/>
          <w:bCs/>
          <w:iCs/>
          <w:szCs w:val="24"/>
        </w:rPr>
        <w:t xml:space="preserve"> </w:t>
      </w:r>
      <w:r w:rsidRPr="00D70BCF">
        <w:rPr>
          <w:rFonts w:cs="Arial"/>
          <w:bCs/>
          <w:iCs/>
          <w:szCs w:val="24"/>
        </w:rPr>
        <w:t xml:space="preserve"> </w:t>
      </w:r>
    </w:p>
    <w:p w:rsidR="00A84849" w:rsidRPr="00D70BCF" w:rsidRDefault="00A84849" w:rsidP="00C067D4">
      <w:pPr>
        <w:autoSpaceDE w:val="0"/>
        <w:autoSpaceDN w:val="0"/>
        <w:adjustRightInd w:val="0"/>
        <w:ind w:left="360"/>
        <w:jc w:val="both"/>
        <w:rPr>
          <w:rFonts w:cs="Arial"/>
          <w:szCs w:val="24"/>
        </w:rPr>
      </w:pPr>
    </w:p>
    <w:p w:rsidR="00BE02C1" w:rsidRPr="00D70BCF" w:rsidRDefault="001A7069" w:rsidP="0073320E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D70BCF">
        <w:rPr>
          <w:rFonts w:cs="Arial"/>
          <w:bCs/>
          <w:iCs/>
          <w:szCs w:val="24"/>
        </w:rPr>
        <w:t>che i</w:t>
      </w:r>
      <w:r w:rsidR="009C7D17" w:rsidRPr="00D70BCF">
        <w:rPr>
          <w:rFonts w:cs="Arial"/>
          <w:bCs/>
          <w:iCs/>
          <w:szCs w:val="24"/>
        </w:rPr>
        <w:t xml:space="preserve">n data </w:t>
      </w:r>
      <w:r w:rsidR="0073320E" w:rsidRPr="00D70BCF">
        <w:rPr>
          <w:rFonts w:cs="Arial"/>
          <w:bCs/>
          <w:iCs/>
          <w:szCs w:val="24"/>
        </w:rPr>
        <w:t>02</w:t>
      </w:r>
      <w:r w:rsidR="009C7D17" w:rsidRPr="00D70BCF">
        <w:rPr>
          <w:rFonts w:cs="Arial"/>
          <w:bCs/>
          <w:iCs/>
          <w:szCs w:val="24"/>
        </w:rPr>
        <w:t>/0</w:t>
      </w:r>
      <w:r w:rsidR="0073320E" w:rsidRPr="00D70BCF">
        <w:rPr>
          <w:rFonts w:cs="Arial"/>
          <w:bCs/>
          <w:iCs/>
          <w:szCs w:val="24"/>
        </w:rPr>
        <w:t>7</w:t>
      </w:r>
      <w:r w:rsidR="009C7D17" w:rsidRPr="00D70BCF">
        <w:rPr>
          <w:rFonts w:cs="Arial"/>
          <w:bCs/>
          <w:iCs/>
          <w:szCs w:val="24"/>
        </w:rPr>
        <w:t>/202</w:t>
      </w:r>
      <w:r w:rsidR="0073320E" w:rsidRPr="00D70BCF">
        <w:rPr>
          <w:rFonts w:cs="Arial"/>
          <w:bCs/>
          <w:iCs/>
          <w:szCs w:val="24"/>
        </w:rPr>
        <w:t>1</w:t>
      </w:r>
      <w:r w:rsidR="009C7D17" w:rsidRPr="00D70BCF">
        <w:rPr>
          <w:rFonts w:cs="Arial"/>
          <w:bCs/>
          <w:iCs/>
          <w:szCs w:val="24"/>
        </w:rPr>
        <w:t xml:space="preserve"> si è tenuta la </w:t>
      </w:r>
      <w:r w:rsidR="00BF4C17" w:rsidRPr="00D70BCF">
        <w:rPr>
          <w:rFonts w:cs="Arial"/>
          <w:szCs w:val="24"/>
        </w:rPr>
        <w:t>prima</w:t>
      </w:r>
      <w:r w:rsidR="00E97077" w:rsidRPr="00D70BCF">
        <w:rPr>
          <w:rFonts w:cs="Arial"/>
          <w:szCs w:val="24"/>
        </w:rPr>
        <w:t xml:space="preserve"> seduta della </w:t>
      </w:r>
      <w:r w:rsidR="009C7D17" w:rsidRPr="00D70BCF">
        <w:rPr>
          <w:rFonts w:cs="Arial"/>
          <w:szCs w:val="24"/>
        </w:rPr>
        <w:t>Con</w:t>
      </w:r>
      <w:r w:rsidR="00E97077" w:rsidRPr="00D70BCF">
        <w:rPr>
          <w:rFonts w:cs="Arial"/>
          <w:szCs w:val="24"/>
        </w:rPr>
        <w:t xml:space="preserve">ferenza </w:t>
      </w:r>
      <w:r w:rsidR="001509F8" w:rsidRPr="00D70BCF">
        <w:rPr>
          <w:rFonts w:cs="Arial"/>
          <w:szCs w:val="24"/>
        </w:rPr>
        <w:t>dei Servizi</w:t>
      </w:r>
      <w:r w:rsidR="009C7D17" w:rsidRPr="00D70BCF">
        <w:rPr>
          <w:rFonts w:cs="Arial"/>
          <w:szCs w:val="24"/>
        </w:rPr>
        <w:t xml:space="preserve">, ex art.14-ter della Legge 241/90 e </w:t>
      </w:r>
      <w:proofErr w:type="spellStart"/>
      <w:r w:rsidR="009C7D17" w:rsidRPr="00D70BCF">
        <w:rPr>
          <w:rFonts w:cs="Arial"/>
          <w:szCs w:val="24"/>
        </w:rPr>
        <w:t>s.m.i.</w:t>
      </w:r>
      <w:proofErr w:type="spellEnd"/>
      <w:r w:rsidR="009C7D17" w:rsidRPr="00D70BCF">
        <w:rPr>
          <w:rFonts w:cs="Arial"/>
          <w:szCs w:val="24"/>
        </w:rPr>
        <w:t>, in via tele</w:t>
      </w:r>
      <w:r w:rsidR="000F650F" w:rsidRPr="00D70BCF">
        <w:rPr>
          <w:rFonts w:cs="Arial"/>
          <w:szCs w:val="24"/>
        </w:rPr>
        <w:t xml:space="preserve">matica, per un primo esame della sopra citata </w:t>
      </w:r>
      <w:r w:rsidR="009C7D17" w:rsidRPr="00D70BCF">
        <w:rPr>
          <w:rFonts w:cs="Arial"/>
          <w:szCs w:val="24"/>
        </w:rPr>
        <w:t xml:space="preserve">istanza di </w:t>
      </w:r>
      <w:r w:rsidR="00803E70" w:rsidRPr="00D70BCF">
        <w:rPr>
          <w:rFonts w:cs="Arial"/>
          <w:szCs w:val="24"/>
        </w:rPr>
        <w:t>P</w:t>
      </w:r>
      <w:r w:rsidR="009C7D17" w:rsidRPr="00D70BCF">
        <w:rPr>
          <w:rFonts w:cs="Arial"/>
          <w:szCs w:val="24"/>
        </w:rPr>
        <w:t xml:space="preserve">rocedimento unico in variante al </w:t>
      </w:r>
      <w:proofErr w:type="spellStart"/>
      <w:r w:rsidR="000F650F" w:rsidRPr="00D70BCF">
        <w:rPr>
          <w:rFonts w:cs="Arial"/>
          <w:szCs w:val="24"/>
        </w:rPr>
        <w:t>II^</w:t>
      </w:r>
      <w:proofErr w:type="spellEnd"/>
      <w:r w:rsidR="000F650F" w:rsidRPr="00D70BCF">
        <w:rPr>
          <w:rFonts w:cs="Arial"/>
          <w:szCs w:val="24"/>
        </w:rPr>
        <w:t xml:space="preserve"> </w:t>
      </w:r>
      <w:r w:rsidR="009C7D17" w:rsidRPr="00D70BCF">
        <w:rPr>
          <w:rFonts w:cs="Arial"/>
          <w:szCs w:val="24"/>
        </w:rPr>
        <w:t xml:space="preserve">POC; </w:t>
      </w:r>
      <w:r w:rsidR="00803E70" w:rsidRPr="00D70BCF">
        <w:rPr>
          <w:rFonts w:cs="Arial"/>
          <w:szCs w:val="24"/>
        </w:rPr>
        <w:t>in sede di Conferenza</w:t>
      </w:r>
      <w:r w:rsidR="009C7D17" w:rsidRPr="00D70BCF">
        <w:rPr>
          <w:rFonts w:cs="Arial"/>
          <w:szCs w:val="24"/>
        </w:rPr>
        <w:t xml:space="preserve"> è emersa la necessità di </w:t>
      </w:r>
      <w:r w:rsidR="00C178D7" w:rsidRPr="00D70BCF">
        <w:rPr>
          <w:rFonts w:cs="Arial"/>
          <w:szCs w:val="24"/>
        </w:rPr>
        <w:t>integrare</w:t>
      </w:r>
      <w:r w:rsidR="009C7D17" w:rsidRPr="00D70BCF">
        <w:rPr>
          <w:rFonts w:cs="Arial"/>
          <w:szCs w:val="24"/>
        </w:rPr>
        <w:t xml:space="preserve">/modificare </w:t>
      </w:r>
      <w:r w:rsidR="000F650F" w:rsidRPr="00D70BCF">
        <w:rPr>
          <w:rFonts w:cs="Arial"/>
          <w:szCs w:val="24"/>
        </w:rPr>
        <w:t xml:space="preserve">detto </w:t>
      </w:r>
      <w:r w:rsidR="009C7D17" w:rsidRPr="00D70BCF">
        <w:rPr>
          <w:rFonts w:cs="Arial"/>
          <w:szCs w:val="24"/>
        </w:rPr>
        <w:t>progetto</w:t>
      </w:r>
      <w:r w:rsidR="001E5FE4" w:rsidRPr="00D70BCF">
        <w:rPr>
          <w:rFonts w:cs="Arial"/>
          <w:szCs w:val="24"/>
        </w:rPr>
        <w:t xml:space="preserve">, come si evince da verbale </w:t>
      </w:r>
      <w:r w:rsidR="004B7178" w:rsidRPr="00D70BCF">
        <w:rPr>
          <w:rFonts w:cs="Arial"/>
          <w:szCs w:val="24"/>
        </w:rPr>
        <w:t>depositato agli</w:t>
      </w:r>
      <w:r w:rsidR="001E5FE4" w:rsidRPr="00D70BCF">
        <w:rPr>
          <w:rFonts w:cs="Arial"/>
          <w:szCs w:val="24"/>
        </w:rPr>
        <w:t xml:space="preserve"> atti</w:t>
      </w:r>
      <w:r w:rsidR="009C7D17" w:rsidRPr="00D70BCF">
        <w:rPr>
          <w:rFonts w:cs="Arial"/>
          <w:szCs w:val="24"/>
        </w:rPr>
        <w:t>;</w:t>
      </w:r>
      <w:r w:rsidR="006C1D74" w:rsidRPr="00D70BCF">
        <w:rPr>
          <w:rFonts w:cs="Arial"/>
          <w:szCs w:val="24"/>
        </w:rPr>
        <w:t xml:space="preserve"> </w:t>
      </w:r>
    </w:p>
    <w:p w:rsidR="009C7D17" w:rsidRPr="00D70BCF" w:rsidRDefault="009C7D17" w:rsidP="009C7D17">
      <w:pPr>
        <w:pStyle w:val="Paragrafoelenco"/>
        <w:rPr>
          <w:rFonts w:ascii="Arial" w:hAnsi="Arial" w:cs="Arial"/>
          <w:highlight w:val="yellow"/>
        </w:rPr>
      </w:pPr>
    </w:p>
    <w:p w:rsidR="00E64DD6" w:rsidRPr="00D70BCF" w:rsidRDefault="00E64DD6" w:rsidP="00E64DD6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>che</w:t>
      </w:r>
      <w:r w:rsidR="000F650F" w:rsidRPr="00D70BCF">
        <w:rPr>
          <w:rFonts w:cs="Arial"/>
          <w:szCs w:val="24"/>
        </w:rPr>
        <w:t xml:space="preserve"> </w:t>
      </w:r>
      <w:r w:rsidR="009C7D17" w:rsidRPr="00D70BCF">
        <w:rPr>
          <w:rFonts w:cs="Arial"/>
          <w:szCs w:val="24"/>
        </w:rPr>
        <w:t xml:space="preserve">in data </w:t>
      </w:r>
      <w:r w:rsidR="00C178D7" w:rsidRPr="00D70BCF">
        <w:rPr>
          <w:rFonts w:cs="Arial"/>
          <w:szCs w:val="24"/>
        </w:rPr>
        <w:t>30</w:t>
      </w:r>
      <w:r w:rsidR="009C7D17" w:rsidRPr="00D70BCF">
        <w:rPr>
          <w:rFonts w:cs="Arial"/>
          <w:szCs w:val="24"/>
        </w:rPr>
        <w:t>/</w:t>
      </w:r>
      <w:r w:rsidR="00C178D7" w:rsidRPr="00D70BCF">
        <w:rPr>
          <w:rFonts w:cs="Arial"/>
          <w:szCs w:val="24"/>
        </w:rPr>
        <w:t>07</w:t>
      </w:r>
      <w:r w:rsidR="009C7D17" w:rsidRPr="00D70BCF">
        <w:rPr>
          <w:rFonts w:cs="Arial"/>
          <w:szCs w:val="24"/>
        </w:rPr>
        <w:t>/202</w:t>
      </w:r>
      <w:r w:rsidR="00C178D7" w:rsidRPr="00D70BCF">
        <w:rPr>
          <w:rFonts w:cs="Arial"/>
          <w:szCs w:val="24"/>
        </w:rPr>
        <w:t>1</w:t>
      </w:r>
      <w:r w:rsidR="009C7D17" w:rsidRPr="00D70BCF">
        <w:rPr>
          <w:rFonts w:cs="Arial"/>
          <w:szCs w:val="24"/>
        </w:rPr>
        <w:t xml:space="preserve"> </w:t>
      </w:r>
      <w:r w:rsidR="00C178D7" w:rsidRPr="00D70BCF">
        <w:rPr>
          <w:rFonts w:cs="Arial"/>
          <w:szCs w:val="24"/>
        </w:rPr>
        <w:t>P</w:t>
      </w:r>
      <w:r w:rsidR="00D70BCF">
        <w:rPr>
          <w:rFonts w:cs="Arial"/>
          <w:szCs w:val="24"/>
        </w:rPr>
        <w:t>.</w:t>
      </w:r>
      <w:r w:rsidR="00C178D7" w:rsidRPr="00D70BCF">
        <w:rPr>
          <w:rFonts w:cs="Arial"/>
          <w:szCs w:val="24"/>
        </w:rPr>
        <w:t xml:space="preserve">G. 93578 </w:t>
      </w:r>
      <w:r w:rsidR="009C7D17" w:rsidRPr="00D70BCF">
        <w:rPr>
          <w:rFonts w:cs="Arial"/>
          <w:szCs w:val="24"/>
        </w:rPr>
        <w:t>sono state trasmesse le integrazioni da parte de</w:t>
      </w:r>
      <w:r w:rsidR="00C178D7" w:rsidRPr="00D70BCF">
        <w:rPr>
          <w:rFonts w:cs="Arial"/>
          <w:szCs w:val="24"/>
        </w:rPr>
        <w:t xml:space="preserve">l progettista incaricato </w:t>
      </w:r>
      <w:r w:rsidR="009C7D17" w:rsidRPr="00D70BCF">
        <w:rPr>
          <w:rFonts w:cs="Arial"/>
          <w:szCs w:val="24"/>
        </w:rPr>
        <w:t>dalla proprietà</w:t>
      </w:r>
      <w:r w:rsidR="007F0801" w:rsidRPr="00D70BCF">
        <w:rPr>
          <w:rFonts w:cs="Arial"/>
          <w:szCs w:val="24"/>
        </w:rPr>
        <w:t>, richieste con nota P</w:t>
      </w:r>
      <w:r w:rsidR="00D70BCF">
        <w:rPr>
          <w:rFonts w:cs="Arial"/>
          <w:szCs w:val="24"/>
        </w:rPr>
        <w:t>.</w:t>
      </w:r>
      <w:r w:rsidR="007F0801" w:rsidRPr="00D70BCF">
        <w:rPr>
          <w:rFonts w:cs="Arial"/>
          <w:szCs w:val="24"/>
        </w:rPr>
        <w:t>G. 82870 del 07/07/2021</w:t>
      </w:r>
      <w:r w:rsidR="009C7D17" w:rsidRPr="00D70BCF">
        <w:rPr>
          <w:rFonts w:cs="Arial"/>
          <w:szCs w:val="24"/>
        </w:rPr>
        <w:t xml:space="preserve">; </w:t>
      </w:r>
    </w:p>
    <w:p w:rsidR="00C178D7" w:rsidRPr="00D70BCF" w:rsidRDefault="00C178D7" w:rsidP="00C178D7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A84849" w:rsidRPr="00D70BCF" w:rsidRDefault="00C178D7" w:rsidP="00C178D7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 xml:space="preserve">che la Commissione per la Qualità Architettonica e il Paesaggio nella seduta del 16/09/2021 </w:t>
      </w:r>
      <w:r w:rsidR="00E64DD6" w:rsidRPr="00D70BCF">
        <w:rPr>
          <w:rFonts w:cs="Arial"/>
          <w:szCs w:val="24"/>
        </w:rPr>
        <w:t xml:space="preserve">valutati gli elaborati </w:t>
      </w:r>
      <w:r w:rsidR="005219E2" w:rsidRPr="00D70BCF">
        <w:rPr>
          <w:rFonts w:cs="Arial"/>
          <w:szCs w:val="24"/>
        </w:rPr>
        <w:t xml:space="preserve">inerenti </w:t>
      </w:r>
      <w:r w:rsidR="008905D6" w:rsidRPr="00D70BCF">
        <w:rPr>
          <w:rFonts w:cs="Arial"/>
          <w:szCs w:val="24"/>
        </w:rPr>
        <w:t>al progetto di ampliamento, di cui a</w:t>
      </w:r>
      <w:r w:rsidR="005219E2" w:rsidRPr="00D70BCF">
        <w:rPr>
          <w:rFonts w:cs="Arial"/>
          <w:szCs w:val="24"/>
        </w:rPr>
        <w:t>l</w:t>
      </w:r>
      <w:r w:rsidR="00E64DD6" w:rsidRPr="00D70BCF">
        <w:rPr>
          <w:rFonts w:cs="Arial"/>
          <w:szCs w:val="24"/>
        </w:rPr>
        <w:t xml:space="preserve"> </w:t>
      </w:r>
      <w:r w:rsidR="005219E2" w:rsidRPr="00D70BCF">
        <w:rPr>
          <w:rFonts w:cs="Arial"/>
          <w:szCs w:val="24"/>
        </w:rPr>
        <w:t>P</w:t>
      </w:r>
      <w:r w:rsidR="00E64DD6" w:rsidRPr="00D70BCF">
        <w:rPr>
          <w:rFonts w:cs="Arial"/>
          <w:szCs w:val="24"/>
        </w:rPr>
        <w:t>rocedimento unico in riferimento</w:t>
      </w:r>
      <w:r w:rsidR="008905D6" w:rsidRPr="00D70BCF">
        <w:rPr>
          <w:rFonts w:cs="Arial"/>
          <w:szCs w:val="24"/>
        </w:rPr>
        <w:t>,</w:t>
      </w:r>
      <w:r w:rsidR="00E64DD6" w:rsidRPr="00D70BCF">
        <w:rPr>
          <w:rFonts w:cs="Arial"/>
          <w:szCs w:val="24"/>
        </w:rPr>
        <w:t xml:space="preserve"> </w:t>
      </w:r>
      <w:r w:rsidRPr="00D70BCF">
        <w:rPr>
          <w:rFonts w:cs="Arial"/>
          <w:szCs w:val="24"/>
        </w:rPr>
        <w:t xml:space="preserve">ha espresso parere favorevole all’intervento; </w:t>
      </w:r>
    </w:p>
    <w:p w:rsidR="00E64DD6" w:rsidRPr="00D70BCF" w:rsidRDefault="00E64DD6" w:rsidP="00E64DD6">
      <w:pPr>
        <w:pStyle w:val="Paragrafoelenco"/>
        <w:rPr>
          <w:rFonts w:cs="Arial"/>
        </w:rPr>
      </w:pPr>
    </w:p>
    <w:p w:rsidR="00E64DD6" w:rsidRPr="00D70BCF" w:rsidRDefault="00E64DD6" w:rsidP="00E64DD6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>che in data 12/10/2021 P</w:t>
      </w:r>
      <w:r w:rsidR="00D70BCF">
        <w:rPr>
          <w:rFonts w:cs="Arial"/>
          <w:szCs w:val="24"/>
        </w:rPr>
        <w:t>.</w:t>
      </w:r>
      <w:r w:rsidRPr="00D70BCF">
        <w:rPr>
          <w:rFonts w:cs="Arial"/>
          <w:szCs w:val="24"/>
        </w:rPr>
        <w:t>G. 128598, 14/10/2021 P</w:t>
      </w:r>
      <w:r w:rsidR="00D70BCF">
        <w:rPr>
          <w:rFonts w:cs="Arial"/>
          <w:szCs w:val="24"/>
        </w:rPr>
        <w:t>.</w:t>
      </w:r>
      <w:r w:rsidRPr="00D70BCF">
        <w:rPr>
          <w:rFonts w:cs="Arial"/>
          <w:szCs w:val="24"/>
        </w:rPr>
        <w:t>G. 128598 sono state trasmesse ulteriori integrazioni da parte del progettista incaricato</w:t>
      </w:r>
      <w:r w:rsidR="00482EBD" w:rsidRPr="00D70BCF">
        <w:rPr>
          <w:rFonts w:cs="Arial"/>
          <w:szCs w:val="24"/>
        </w:rPr>
        <w:t xml:space="preserve"> inerenti l’AUA</w:t>
      </w:r>
      <w:r w:rsidRPr="00D70BCF">
        <w:rPr>
          <w:rFonts w:cs="Arial"/>
          <w:szCs w:val="24"/>
        </w:rPr>
        <w:t xml:space="preserve">; </w:t>
      </w:r>
    </w:p>
    <w:p w:rsidR="002110CC" w:rsidRPr="00D70BCF" w:rsidRDefault="002110CC" w:rsidP="002110CC">
      <w:pPr>
        <w:pStyle w:val="Paragrafoelenco"/>
        <w:rPr>
          <w:rFonts w:cs="Arial"/>
        </w:rPr>
      </w:pPr>
    </w:p>
    <w:p w:rsidR="002110CC" w:rsidRPr="00D70BCF" w:rsidRDefault="002110CC" w:rsidP="002110CC">
      <w:pPr>
        <w:pStyle w:val="Intestazione"/>
        <w:numPr>
          <w:ilvl w:val="0"/>
          <w:numId w:val="11"/>
        </w:numPr>
        <w:tabs>
          <w:tab w:val="left" w:pos="1918"/>
        </w:tabs>
        <w:jc w:val="both"/>
        <w:rPr>
          <w:szCs w:val="24"/>
        </w:rPr>
      </w:pPr>
      <w:r w:rsidRPr="00D70BCF">
        <w:rPr>
          <w:szCs w:val="24"/>
        </w:rPr>
        <w:t xml:space="preserve">che </w:t>
      </w:r>
      <w:r w:rsidR="00482EBD" w:rsidRPr="00D70BCF">
        <w:rPr>
          <w:szCs w:val="24"/>
        </w:rPr>
        <w:t xml:space="preserve">a seguito delle suddette integrazioni </w:t>
      </w:r>
      <w:r w:rsidRPr="00D70BCF">
        <w:rPr>
          <w:szCs w:val="24"/>
        </w:rPr>
        <w:t>è pervenuto da ARPAE – Servizio Autorizzazioni e Concessioni, l’Atto dirigenziale DET-AMB-2021-5232 del 21/10/2021 acquisito al P</w:t>
      </w:r>
      <w:r w:rsidR="00D70BCF">
        <w:rPr>
          <w:szCs w:val="24"/>
        </w:rPr>
        <w:t>.</w:t>
      </w:r>
      <w:r w:rsidRPr="00D70BCF">
        <w:rPr>
          <w:szCs w:val="24"/>
        </w:rPr>
        <w:t>G.132359 del 21/10/2021 inerente la mo</w:t>
      </w:r>
      <w:r w:rsidR="000F650F" w:rsidRPr="00D70BCF">
        <w:rPr>
          <w:szCs w:val="24"/>
        </w:rPr>
        <w:t>difica non sostanziale dell’AUA;</w:t>
      </w:r>
    </w:p>
    <w:p w:rsidR="00A84849" w:rsidRPr="00D70BCF" w:rsidRDefault="00A84849" w:rsidP="002110CC">
      <w:pPr>
        <w:autoSpaceDE w:val="0"/>
        <w:autoSpaceDN w:val="0"/>
        <w:adjustRightInd w:val="0"/>
        <w:ind w:left="360"/>
        <w:jc w:val="both"/>
        <w:rPr>
          <w:rFonts w:cs="Arial"/>
          <w:szCs w:val="24"/>
        </w:rPr>
      </w:pPr>
    </w:p>
    <w:p w:rsidR="009C7D17" w:rsidRPr="00D70BCF" w:rsidRDefault="00E64DD6" w:rsidP="00A84849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 xml:space="preserve">che </w:t>
      </w:r>
      <w:r w:rsidR="009C7D17" w:rsidRPr="00D70BCF">
        <w:rPr>
          <w:rFonts w:cs="Arial"/>
          <w:szCs w:val="24"/>
        </w:rPr>
        <w:t>in data 2</w:t>
      </w:r>
      <w:r w:rsidR="0073320E" w:rsidRPr="00D70BCF">
        <w:rPr>
          <w:rFonts w:cs="Arial"/>
          <w:szCs w:val="24"/>
        </w:rPr>
        <w:t>2/10</w:t>
      </w:r>
      <w:r w:rsidR="009C7D17" w:rsidRPr="00D70BCF">
        <w:rPr>
          <w:rFonts w:cs="Arial"/>
          <w:szCs w:val="24"/>
        </w:rPr>
        <w:t xml:space="preserve">/2021 si è tenuta la </w:t>
      </w:r>
      <w:r w:rsidR="00BF4C17" w:rsidRPr="00D70BCF">
        <w:rPr>
          <w:rFonts w:cs="Arial"/>
          <w:szCs w:val="24"/>
        </w:rPr>
        <w:t xml:space="preserve">seconda </w:t>
      </w:r>
      <w:r w:rsidR="00363416" w:rsidRPr="00D70BCF">
        <w:rPr>
          <w:rFonts w:cs="Arial"/>
          <w:szCs w:val="24"/>
        </w:rPr>
        <w:t xml:space="preserve">seduta </w:t>
      </w:r>
      <w:r w:rsidR="009C7D17" w:rsidRPr="00D70BCF">
        <w:rPr>
          <w:rFonts w:cs="Arial"/>
          <w:szCs w:val="24"/>
        </w:rPr>
        <w:t xml:space="preserve">Conferenza dei Servizi in via telematica, ove sono stati valutati tutti gli elaborati inerenti il progetto del Procedimento Unico ed </w:t>
      </w:r>
      <w:r w:rsidR="001062D9" w:rsidRPr="00D70BCF">
        <w:rPr>
          <w:rFonts w:cs="Arial"/>
          <w:szCs w:val="24"/>
        </w:rPr>
        <w:t>in detta sede</w:t>
      </w:r>
      <w:r w:rsidR="009C7D17" w:rsidRPr="00D70BCF">
        <w:rPr>
          <w:rFonts w:cs="Arial"/>
          <w:szCs w:val="24"/>
        </w:rPr>
        <w:t xml:space="preserve">, sono state concordate </w:t>
      </w:r>
      <w:r w:rsidR="008370DA" w:rsidRPr="00D70BCF">
        <w:rPr>
          <w:rFonts w:cs="Arial"/>
          <w:szCs w:val="24"/>
        </w:rPr>
        <w:t>alcune</w:t>
      </w:r>
      <w:r w:rsidR="001062D9" w:rsidRPr="00D70BCF">
        <w:rPr>
          <w:rFonts w:cs="Arial"/>
          <w:szCs w:val="24"/>
        </w:rPr>
        <w:t xml:space="preserve"> </w:t>
      </w:r>
      <w:r w:rsidR="009C7D17" w:rsidRPr="00D70BCF">
        <w:rPr>
          <w:rFonts w:cs="Arial"/>
          <w:szCs w:val="24"/>
        </w:rPr>
        <w:t>modifiche</w:t>
      </w:r>
      <w:r w:rsidR="008370DA" w:rsidRPr="00D70BCF">
        <w:rPr>
          <w:rFonts w:cs="Arial"/>
          <w:szCs w:val="24"/>
        </w:rPr>
        <w:t xml:space="preserve"> di dettaglio del progetto edilizio al fine di superare tutte le criticità e poter procedere con </w:t>
      </w:r>
      <w:r w:rsidR="006D3D9D" w:rsidRPr="00D70BCF">
        <w:rPr>
          <w:rFonts w:cs="Arial"/>
          <w:szCs w:val="24"/>
        </w:rPr>
        <w:t>l’iter di approvazione</w:t>
      </w:r>
      <w:r w:rsidR="009C7D17" w:rsidRPr="00D70BCF">
        <w:rPr>
          <w:rFonts w:cs="Arial"/>
          <w:szCs w:val="24"/>
        </w:rPr>
        <w:t>;</w:t>
      </w:r>
    </w:p>
    <w:p w:rsidR="00236F3C" w:rsidRPr="00D70BCF" w:rsidRDefault="00236F3C" w:rsidP="00236F3C">
      <w:pPr>
        <w:autoSpaceDE w:val="0"/>
        <w:autoSpaceDN w:val="0"/>
        <w:adjustRightInd w:val="0"/>
        <w:jc w:val="both"/>
        <w:rPr>
          <w:rFonts w:cs="Arial"/>
          <w:szCs w:val="24"/>
          <w:highlight w:val="yellow"/>
        </w:rPr>
      </w:pPr>
    </w:p>
    <w:p w:rsidR="00CC1635" w:rsidRPr="00D70BCF" w:rsidRDefault="00B26786" w:rsidP="00BF4C17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 xml:space="preserve">che </w:t>
      </w:r>
      <w:r w:rsidR="00A143F2" w:rsidRPr="00D70BCF">
        <w:rPr>
          <w:rFonts w:cs="Arial"/>
          <w:szCs w:val="24"/>
        </w:rPr>
        <w:t>la U</w:t>
      </w:r>
      <w:r w:rsidR="00642027" w:rsidRPr="00D70BCF">
        <w:rPr>
          <w:rFonts w:cs="Arial"/>
          <w:szCs w:val="24"/>
        </w:rPr>
        <w:t>.</w:t>
      </w:r>
      <w:r w:rsidR="00A143F2" w:rsidRPr="00D70BCF">
        <w:rPr>
          <w:rFonts w:cs="Arial"/>
          <w:szCs w:val="24"/>
        </w:rPr>
        <w:t>O</w:t>
      </w:r>
      <w:r w:rsidR="00642027" w:rsidRPr="00D70BCF">
        <w:rPr>
          <w:rFonts w:cs="Arial"/>
          <w:szCs w:val="24"/>
        </w:rPr>
        <w:t>.</w:t>
      </w:r>
      <w:r w:rsidR="00A143F2" w:rsidRPr="00D70BCF">
        <w:rPr>
          <w:rFonts w:cs="Arial"/>
          <w:szCs w:val="24"/>
        </w:rPr>
        <w:t xml:space="preserve"> </w:t>
      </w:r>
      <w:r w:rsidRPr="00D70BCF">
        <w:rPr>
          <w:rFonts w:cs="Arial"/>
          <w:szCs w:val="24"/>
        </w:rPr>
        <w:t xml:space="preserve">Pianificazione Generale </w:t>
      </w:r>
      <w:r w:rsidR="00642027" w:rsidRPr="00D70BCF">
        <w:rPr>
          <w:rFonts w:cs="Arial"/>
          <w:szCs w:val="24"/>
        </w:rPr>
        <w:t xml:space="preserve">e Paesaggistica </w:t>
      </w:r>
      <w:r w:rsidRPr="00D70BCF">
        <w:rPr>
          <w:rFonts w:cs="Arial"/>
          <w:szCs w:val="24"/>
        </w:rPr>
        <w:t>ha predisposto, sulla base del suddetto progetto di ampliamento</w:t>
      </w:r>
      <w:r w:rsidR="00821CB0" w:rsidRPr="00D70BCF">
        <w:rPr>
          <w:rFonts w:cs="Arial"/>
          <w:szCs w:val="24"/>
        </w:rPr>
        <w:t xml:space="preserve">, </w:t>
      </w:r>
      <w:r w:rsidR="00CC1635" w:rsidRPr="00D70BCF">
        <w:rPr>
          <w:rFonts w:cs="Arial"/>
          <w:szCs w:val="24"/>
        </w:rPr>
        <w:t xml:space="preserve">la scheda di POC denominata </w:t>
      </w:r>
      <w:r w:rsidR="00821CB0" w:rsidRPr="00D70BCF">
        <w:rPr>
          <w:rFonts w:cs="Arial"/>
          <w:szCs w:val="24"/>
        </w:rPr>
        <w:t>7</w:t>
      </w:r>
      <w:r w:rsidR="00DF7394" w:rsidRPr="00D70BCF">
        <w:rPr>
          <w:rFonts w:cs="Arial"/>
          <w:szCs w:val="24"/>
        </w:rPr>
        <w:t>ANS</w:t>
      </w:r>
      <w:r w:rsidR="00821CB0" w:rsidRPr="00D70BCF">
        <w:rPr>
          <w:rFonts w:cs="Arial"/>
          <w:szCs w:val="24"/>
        </w:rPr>
        <w:t>_06</w:t>
      </w:r>
      <w:r w:rsidR="00CC1635" w:rsidRPr="00D70BCF">
        <w:rPr>
          <w:rFonts w:cs="Arial"/>
          <w:szCs w:val="24"/>
        </w:rPr>
        <w:t xml:space="preserve"> e gli elaborati di variante al </w:t>
      </w:r>
      <w:proofErr w:type="spellStart"/>
      <w:r w:rsidR="00CC1635" w:rsidRPr="00D70BCF">
        <w:rPr>
          <w:rFonts w:cs="Arial"/>
          <w:szCs w:val="24"/>
        </w:rPr>
        <w:t>I</w:t>
      </w:r>
      <w:r w:rsidRPr="00D70BCF">
        <w:rPr>
          <w:rFonts w:cs="Arial"/>
          <w:szCs w:val="24"/>
        </w:rPr>
        <w:t>I</w:t>
      </w:r>
      <w:r w:rsidR="000F650F" w:rsidRPr="00D70BCF">
        <w:rPr>
          <w:rFonts w:cs="Arial"/>
          <w:szCs w:val="24"/>
        </w:rPr>
        <w:t>^</w:t>
      </w:r>
      <w:proofErr w:type="spellEnd"/>
      <w:r w:rsidRPr="00D70BCF">
        <w:rPr>
          <w:rFonts w:cs="Arial"/>
          <w:szCs w:val="24"/>
        </w:rPr>
        <w:t xml:space="preserve"> POC</w:t>
      </w:r>
      <w:r w:rsidR="000F650F" w:rsidRPr="00D70BCF">
        <w:rPr>
          <w:rFonts w:cs="Arial"/>
          <w:szCs w:val="24"/>
        </w:rPr>
        <w:t>,</w:t>
      </w:r>
      <w:r w:rsidRPr="00D70BCF">
        <w:rPr>
          <w:rFonts w:cs="Arial"/>
          <w:szCs w:val="24"/>
        </w:rPr>
        <w:t xml:space="preserve"> al fine di </w:t>
      </w:r>
      <w:r w:rsidR="00D70E81" w:rsidRPr="00D70BCF">
        <w:rPr>
          <w:rFonts w:cs="Arial"/>
          <w:szCs w:val="24"/>
        </w:rPr>
        <w:t>conforma</w:t>
      </w:r>
      <w:r w:rsidR="00482EBD" w:rsidRPr="00D70BCF">
        <w:rPr>
          <w:rFonts w:cs="Arial"/>
          <w:szCs w:val="24"/>
        </w:rPr>
        <w:t>r</w:t>
      </w:r>
      <w:r w:rsidR="00D70E81" w:rsidRPr="00D70BCF">
        <w:rPr>
          <w:rFonts w:cs="Arial"/>
          <w:szCs w:val="24"/>
        </w:rPr>
        <w:t>e la pianificazione urbanistica vigente al</w:t>
      </w:r>
      <w:r w:rsidR="00457AAF" w:rsidRPr="00D70BCF">
        <w:rPr>
          <w:rFonts w:cs="Arial"/>
          <w:szCs w:val="24"/>
        </w:rPr>
        <w:t>lo</w:t>
      </w:r>
      <w:r w:rsidR="00D70E81" w:rsidRPr="00D70BCF">
        <w:rPr>
          <w:rFonts w:cs="Arial"/>
          <w:szCs w:val="24"/>
        </w:rPr>
        <w:t xml:space="preserve"> stesso</w:t>
      </w:r>
      <w:r w:rsidR="00457AAF" w:rsidRPr="00D70BCF">
        <w:rPr>
          <w:rFonts w:cs="Arial"/>
          <w:szCs w:val="24"/>
        </w:rPr>
        <w:t xml:space="preserve"> progetto</w:t>
      </w:r>
      <w:r w:rsidR="00D70E81" w:rsidRPr="00D70BCF">
        <w:rPr>
          <w:rFonts w:cs="Arial"/>
          <w:szCs w:val="24"/>
        </w:rPr>
        <w:t xml:space="preserve">; </w:t>
      </w:r>
      <w:r w:rsidRPr="00D70BCF">
        <w:rPr>
          <w:rFonts w:cs="Arial"/>
          <w:szCs w:val="24"/>
        </w:rPr>
        <w:t xml:space="preserve">si tratta di una modifica puntuale del </w:t>
      </w:r>
      <w:r w:rsidR="00CC1635" w:rsidRPr="00D70BCF">
        <w:rPr>
          <w:rFonts w:cs="Arial"/>
          <w:szCs w:val="24"/>
        </w:rPr>
        <w:t>POC</w:t>
      </w:r>
      <w:r w:rsidR="00D70E81" w:rsidRPr="00D70BCF">
        <w:rPr>
          <w:rFonts w:cs="Arial"/>
          <w:szCs w:val="24"/>
        </w:rPr>
        <w:t xml:space="preserve"> che va a localizzare esclusivamente questo intervento, </w:t>
      </w:r>
      <w:r w:rsidRPr="00D70BCF">
        <w:rPr>
          <w:rFonts w:cs="Arial"/>
          <w:szCs w:val="24"/>
        </w:rPr>
        <w:t>non riguarda linee strategiche,</w:t>
      </w:r>
      <w:r w:rsidR="00207AC8" w:rsidRPr="00D70BCF">
        <w:rPr>
          <w:rFonts w:cs="Arial"/>
          <w:szCs w:val="24"/>
        </w:rPr>
        <w:t xml:space="preserve"> obiettivi ed azioni del PSC </w:t>
      </w:r>
      <w:r w:rsidR="00911484" w:rsidRPr="00D70BCF">
        <w:rPr>
          <w:rFonts w:cs="Arial"/>
          <w:szCs w:val="24"/>
        </w:rPr>
        <w:t xml:space="preserve">di </w:t>
      </w:r>
      <w:r w:rsidR="00BF4C17" w:rsidRPr="00D70BCF">
        <w:rPr>
          <w:rFonts w:cs="Arial"/>
          <w:szCs w:val="24"/>
        </w:rPr>
        <w:t>carattere generale;</w:t>
      </w:r>
    </w:p>
    <w:p w:rsidR="00B26786" w:rsidRPr="00D70BCF" w:rsidRDefault="00B26786" w:rsidP="00B26786">
      <w:pPr>
        <w:autoSpaceDE w:val="0"/>
        <w:autoSpaceDN w:val="0"/>
        <w:adjustRightInd w:val="0"/>
        <w:jc w:val="both"/>
        <w:rPr>
          <w:rFonts w:cs="Arial"/>
          <w:szCs w:val="24"/>
          <w:highlight w:val="yellow"/>
        </w:rPr>
      </w:pPr>
    </w:p>
    <w:p w:rsidR="00B26786" w:rsidRPr="00D70BCF" w:rsidRDefault="00CC1635" w:rsidP="00CC1635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 xml:space="preserve">che </w:t>
      </w:r>
      <w:r w:rsidR="00A143F2" w:rsidRPr="00D70BCF">
        <w:rPr>
          <w:rFonts w:cs="Arial"/>
          <w:szCs w:val="24"/>
        </w:rPr>
        <w:t>la U</w:t>
      </w:r>
      <w:r w:rsidR="00A917B1" w:rsidRPr="00D70BCF">
        <w:rPr>
          <w:rFonts w:cs="Arial"/>
          <w:szCs w:val="24"/>
        </w:rPr>
        <w:t>.</w:t>
      </w:r>
      <w:r w:rsidR="00A143F2" w:rsidRPr="00D70BCF">
        <w:rPr>
          <w:rFonts w:cs="Arial"/>
          <w:szCs w:val="24"/>
        </w:rPr>
        <w:t>O</w:t>
      </w:r>
      <w:r w:rsidR="00A917B1" w:rsidRPr="00D70BCF">
        <w:rPr>
          <w:rFonts w:cs="Arial"/>
          <w:szCs w:val="24"/>
        </w:rPr>
        <w:t>.</w:t>
      </w:r>
      <w:r w:rsidRPr="00D70BCF">
        <w:rPr>
          <w:rFonts w:cs="Arial"/>
          <w:szCs w:val="24"/>
        </w:rPr>
        <w:t xml:space="preserve"> Pianificazione Generale </w:t>
      </w:r>
      <w:r w:rsidR="0073320E" w:rsidRPr="00D70BCF">
        <w:rPr>
          <w:rFonts w:cs="Arial"/>
          <w:szCs w:val="24"/>
        </w:rPr>
        <w:t xml:space="preserve">e Paesaggistica </w:t>
      </w:r>
      <w:r w:rsidRPr="00D70BCF">
        <w:rPr>
          <w:rFonts w:cs="Arial"/>
          <w:szCs w:val="24"/>
        </w:rPr>
        <w:t xml:space="preserve">ha </w:t>
      </w:r>
      <w:r w:rsidR="00482EBD" w:rsidRPr="00D70BCF">
        <w:rPr>
          <w:rFonts w:cs="Arial"/>
          <w:szCs w:val="24"/>
        </w:rPr>
        <w:t>inoltre quantificato i</w:t>
      </w:r>
      <w:r w:rsidR="00207AC8" w:rsidRPr="00D70BCF">
        <w:rPr>
          <w:rFonts w:cs="Arial"/>
          <w:szCs w:val="24"/>
        </w:rPr>
        <w:t xml:space="preserve">l </w:t>
      </w:r>
      <w:r w:rsidRPr="00D70BCF">
        <w:rPr>
          <w:rFonts w:cs="Arial"/>
          <w:szCs w:val="24"/>
        </w:rPr>
        <w:t>contributo per la realizzazione di opere pubbliche generali (contributo straordinario ai sensi dell’art.16 comma 4.d.ter del DPR 280/01)</w:t>
      </w:r>
      <w:r w:rsidR="00207AC8" w:rsidRPr="00D70BCF">
        <w:rPr>
          <w:rFonts w:cs="Arial"/>
          <w:szCs w:val="24"/>
        </w:rPr>
        <w:t xml:space="preserve"> in euro </w:t>
      </w:r>
      <w:r w:rsidR="0073320E" w:rsidRPr="00D70BCF">
        <w:rPr>
          <w:rFonts w:cs="Arial"/>
          <w:szCs w:val="24"/>
        </w:rPr>
        <w:t>6</w:t>
      </w:r>
      <w:r w:rsidR="00207AC8" w:rsidRPr="00D70BCF">
        <w:rPr>
          <w:rFonts w:cs="Arial"/>
          <w:szCs w:val="24"/>
        </w:rPr>
        <w:t>.</w:t>
      </w:r>
      <w:r w:rsidR="0073320E" w:rsidRPr="00D70BCF">
        <w:rPr>
          <w:rFonts w:cs="Arial"/>
          <w:szCs w:val="24"/>
        </w:rPr>
        <w:t>0</w:t>
      </w:r>
      <w:r w:rsidR="00207AC8" w:rsidRPr="00D70BCF">
        <w:rPr>
          <w:rFonts w:cs="Arial"/>
          <w:szCs w:val="24"/>
        </w:rPr>
        <w:t>00,00;</w:t>
      </w:r>
    </w:p>
    <w:p w:rsidR="008709C9" w:rsidRPr="00D70BCF" w:rsidRDefault="008709C9" w:rsidP="008709C9">
      <w:pPr>
        <w:pStyle w:val="Paragrafoelenco"/>
        <w:rPr>
          <w:rFonts w:cs="Arial"/>
        </w:rPr>
      </w:pPr>
    </w:p>
    <w:p w:rsidR="008709C9" w:rsidRPr="00D70BCF" w:rsidRDefault="008709C9" w:rsidP="008709C9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 xml:space="preserve">che in data 18/11/2021 con  PR VEUTG con Ingresso 0090572  è stata richiesta Informazione antimafia ai sensi dell’art. 91 del D. </w:t>
      </w:r>
      <w:proofErr w:type="spellStart"/>
      <w:r w:rsidRPr="00D70BCF">
        <w:rPr>
          <w:rFonts w:ascii="Arial" w:hAnsi="Arial" w:cs="Arial"/>
        </w:rPr>
        <w:t>Lgs</w:t>
      </w:r>
      <w:proofErr w:type="spellEnd"/>
      <w:r w:rsidRPr="00D70BCF">
        <w:rPr>
          <w:rFonts w:ascii="Arial" w:hAnsi="Arial" w:cs="Arial"/>
        </w:rPr>
        <w:t xml:space="preserve">. 159/2011 a carico della Soc. Vega Carburanti </w:t>
      </w:r>
      <w:r w:rsidR="00F14476" w:rsidRPr="00D70BCF">
        <w:rPr>
          <w:rFonts w:ascii="Arial" w:hAnsi="Arial" w:cs="Arial"/>
        </w:rPr>
        <w:t>srl, poi rilasciata dal Ministero degli Interni in data 06.12.2021;</w:t>
      </w:r>
    </w:p>
    <w:p w:rsidR="00BF4C17" w:rsidRPr="00D70BCF" w:rsidRDefault="00BF4C17" w:rsidP="00BF4C17">
      <w:pPr>
        <w:autoSpaceDE w:val="0"/>
        <w:autoSpaceDN w:val="0"/>
        <w:adjustRightInd w:val="0"/>
        <w:jc w:val="both"/>
        <w:rPr>
          <w:rFonts w:cs="Arial"/>
          <w:szCs w:val="24"/>
          <w:highlight w:val="yellow"/>
        </w:rPr>
      </w:pPr>
    </w:p>
    <w:p w:rsidR="005A69D3" w:rsidRPr="00D70BCF" w:rsidRDefault="00413E31" w:rsidP="00815712">
      <w:pPr>
        <w:pStyle w:val="Intestazione"/>
        <w:numPr>
          <w:ilvl w:val="0"/>
          <w:numId w:val="11"/>
        </w:numPr>
        <w:tabs>
          <w:tab w:val="left" w:pos="1918"/>
        </w:tabs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 xml:space="preserve">che </w:t>
      </w:r>
      <w:r w:rsidR="005A69D3" w:rsidRPr="00D70BCF">
        <w:rPr>
          <w:rFonts w:cs="Arial"/>
          <w:szCs w:val="24"/>
        </w:rPr>
        <w:t xml:space="preserve">in data </w:t>
      </w:r>
      <w:r w:rsidR="00201170" w:rsidRPr="00D70BCF">
        <w:rPr>
          <w:rFonts w:cs="Arial"/>
          <w:szCs w:val="24"/>
        </w:rPr>
        <w:t xml:space="preserve"> 23</w:t>
      </w:r>
      <w:r w:rsidR="00E84B9B" w:rsidRPr="00D70BCF">
        <w:rPr>
          <w:rFonts w:cs="Arial"/>
          <w:szCs w:val="24"/>
        </w:rPr>
        <w:t>/</w:t>
      </w:r>
      <w:r w:rsidR="00201170" w:rsidRPr="00D70BCF">
        <w:rPr>
          <w:rFonts w:cs="Arial"/>
          <w:szCs w:val="24"/>
        </w:rPr>
        <w:t>11</w:t>
      </w:r>
      <w:r w:rsidR="00E84B9B" w:rsidRPr="00D70BCF">
        <w:rPr>
          <w:rFonts w:cs="Arial"/>
          <w:szCs w:val="24"/>
        </w:rPr>
        <w:t>/</w:t>
      </w:r>
      <w:r w:rsidR="00201170" w:rsidRPr="00D70BCF">
        <w:rPr>
          <w:rFonts w:cs="Arial"/>
          <w:szCs w:val="24"/>
        </w:rPr>
        <w:t>2021 è stata richiesta la  pubblicazione sul B</w:t>
      </w:r>
      <w:r w:rsidR="005A69D3" w:rsidRPr="00D70BCF">
        <w:rPr>
          <w:rFonts w:cs="Arial"/>
          <w:szCs w:val="24"/>
        </w:rPr>
        <w:t xml:space="preserve">ollettino della Regione Emilia Romagna telematico (BURERT) ai sensi dall’art. 53, comma 6 della </w:t>
      </w:r>
      <w:proofErr w:type="spellStart"/>
      <w:r w:rsidR="005A69D3" w:rsidRPr="00D70BCF">
        <w:rPr>
          <w:rFonts w:cs="Arial"/>
          <w:szCs w:val="24"/>
        </w:rPr>
        <w:t>L.R.</w:t>
      </w:r>
      <w:proofErr w:type="spellEnd"/>
      <w:r w:rsidR="005A69D3" w:rsidRPr="00D70BCF">
        <w:rPr>
          <w:rFonts w:cs="Arial"/>
          <w:szCs w:val="24"/>
        </w:rPr>
        <w:t xml:space="preserve"> n. 24/2017, </w:t>
      </w:r>
      <w:r w:rsidR="00201170" w:rsidRPr="00D70BCF">
        <w:rPr>
          <w:rFonts w:cs="Arial"/>
          <w:szCs w:val="24"/>
        </w:rPr>
        <w:t>del</w:t>
      </w:r>
      <w:r w:rsidR="005A69D3" w:rsidRPr="00D70BCF">
        <w:rPr>
          <w:rFonts w:cs="Arial"/>
          <w:szCs w:val="24"/>
        </w:rPr>
        <w:t xml:space="preserve">l’avviso </w:t>
      </w:r>
      <w:r w:rsidR="00201170" w:rsidRPr="00D70BCF">
        <w:rPr>
          <w:rFonts w:cs="Arial"/>
          <w:szCs w:val="24"/>
        </w:rPr>
        <w:t>di</w:t>
      </w:r>
      <w:r w:rsidR="005A69D3" w:rsidRPr="00D70BCF">
        <w:rPr>
          <w:rFonts w:cs="Arial"/>
          <w:szCs w:val="24"/>
        </w:rPr>
        <w:t xml:space="preserve"> deposito del progetto sopra citato</w:t>
      </w:r>
      <w:r w:rsidR="00201170" w:rsidRPr="00D70BCF">
        <w:rPr>
          <w:rFonts w:cs="Arial"/>
          <w:szCs w:val="24"/>
        </w:rPr>
        <w:t>, già in calendario per il 09</w:t>
      </w:r>
      <w:r w:rsidR="00E84B9B" w:rsidRPr="00D70BCF">
        <w:rPr>
          <w:rFonts w:cs="Arial"/>
          <w:szCs w:val="24"/>
        </w:rPr>
        <w:t>/</w:t>
      </w:r>
      <w:r w:rsidR="00201170" w:rsidRPr="00D70BCF">
        <w:rPr>
          <w:rFonts w:cs="Arial"/>
          <w:szCs w:val="24"/>
        </w:rPr>
        <w:t>12</w:t>
      </w:r>
      <w:r w:rsidR="00E84B9B" w:rsidRPr="00D70BCF">
        <w:rPr>
          <w:rFonts w:cs="Arial"/>
          <w:szCs w:val="24"/>
        </w:rPr>
        <w:t>/</w:t>
      </w:r>
      <w:r w:rsidR="00201170" w:rsidRPr="00D70BCF">
        <w:rPr>
          <w:rFonts w:cs="Arial"/>
          <w:szCs w:val="24"/>
        </w:rPr>
        <w:t>2021</w:t>
      </w:r>
      <w:r w:rsidR="005A69D3" w:rsidRPr="00D70BCF">
        <w:rPr>
          <w:rFonts w:cs="Arial"/>
          <w:szCs w:val="24"/>
        </w:rPr>
        <w:t xml:space="preserve">; </w:t>
      </w:r>
    </w:p>
    <w:p w:rsidR="00F613C7" w:rsidRPr="00D70BCF" w:rsidRDefault="00F613C7" w:rsidP="00F613C7">
      <w:pPr>
        <w:pStyle w:val="Paragrafoelenco"/>
        <w:rPr>
          <w:rFonts w:cs="Arial"/>
        </w:rPr>
      </w:pPr>
    </w:p>
    <w:p w:rsidR="00D156C6" w:rsidRPr="00D70BCF" w:rsidRDefault="005A69D3" w:rsidP="00E64DD6">
      <w:pPr>
        <w:pStyle w:val="Intestazione"/>
        <w:numPr>
          <w:ilvl w:val="0"/>
          <w:numId w:val="11"/>
        </w:numPr>
        <w:tabs>
          <w:tab w:val="left" w:pos="1918"/>
        </w:tabs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 xml:space="preserve">che gli elaborati di progetto e della variante al II POC </w:t>
      </w:r>
      <w:r w:rsidR="00F14476" w:rsidRPr="00D70BCF">
        <w:rPr>
          <w:rFonts w:cs="Arial"/>
          <w:szCs w:val="24"/>
        </w:rPr>
        <w:t>sono in deposito</w:t>
      </w:r>
      <w:r w:rsidRPr="00D70BCF">
        <w:rPr>
          <w:rFonts w:cs="Arial"/>
          <w:szCs w:val="24"/>
        </w:rPr>
        <w:t xml:space="preserve"> per 60 giorni interi e consecutivi a decorrere dal </w:t>
      </w:r>
      <w:r w:rsidR="00C25AE8" w:rsidRPr="00D70BCF">
        <w:rPr>
          <w:rFonts w:cs="Arial"/>
          <w:szCs w:val="24"/>
        </w:rPr>
        <w:t xml:space="preserve">09/12/2021 </w:t>
      </w:r>
      <w:r w:rsidRPr="00D70BCF">
        <w:rPr>
          <w:rFonts w:cs="Arial"/>
          <w:szCs w:val="24"/>
        </w:rPr>
        <w:t>(data di pubblicazione sul BURERT)</w:t>
      </w:r>
      <w:r w:rsidR="00D07CAC" w:rsidRPr="00D70BCF">
        <w:rPr>
          <w:rFonts w:cs="Arial"/>
          <w:szCs w:val="24"/>
        </w:rPr>
        <w:t xml:space="preserve"> ed  entro il termine di sessanta giorni da detta pubblicazione sul BURERT chiunque potrà prendere visione del progetto e formulare osservazioni; </w:t>
      </w:r>
      <w:r w:rsidR="00C25AE8" w:rsidRPr="00D70BCF">
        <w:rPr>
          <w:rFonts w:cs="Arial"/>
          <w:szCs w:val="24"/>
        </w:rPr>
        <w:t xml:space="preserve">si </w:t>
      </w:r>
      <w:r w:rsidR="00F14476" w:rsidRPr="00D70BCF">
        <w:rPr>
          <w:rFonts w:cs="Arial"/>
          <w:szCs w:val="24"/>
        </w:rPr>
        <w:t xml:space="preserve">è </w:t>
      </w:r>
      <w:r w:rsidR="00413E31" w:rsidRPr="00D70BCF">
        <w:rPr>
          <w:rFonts w:cs="Arial"/>
          <w:szCs w:val="24"/>
        </w:rPr>
        <w:t>provved</w:t>
      </w:r>
      <w:r w:rsidR="00F14476" w:rsidRPr="00D70BCF">
        <w:rPr>
          <w:rFonts w:cs="Arial"/>
          <w:szCs w:val="24"/>
        </w:rPr>
        <w:t>uto</w:t>
      </w:r>
      <w:r w:rsidR="00413E31" w:rsidRPr="00D70BCF">
        <w:rPr>
          <w:rFonts w:cs="Arial"/>
          <w:szCs w:val="24"/>
        </w:rPr>
        <w:t xml:space="preserve"> </w:t>
      </w:r>
      <w:r w:rsidRPr="00D70BCF">
        <w:rPr>
          <w:rFonts w:cs="Arial"/>
          <w:szCs w:val="24"/>
        </w:rPr>
        <w:t>inoltre alla pubblicazione</w:t>
      </w:r>
      <w:r w:rsidR="00783C25" w:rsidRPr="00D70BCF">
        <w:rPr>
          <w:rFonts w:cs="Arial"/>
          <w:szCs w:val="24"/>
        </w:rPr>
        <w:t xml:space="preserve"> del relativo avviso </w:t>
      </w:r>
      <w:r w:rsidR="00413E31" w:rsidRPr="00D70BCF">
        <w:rPr>
          <w:rFonts w:cs="Arial"/>
          <w:szCs w:val="24"/>
        </w:rPr>
        <w:t xml:space="preserve"> </w:t>
      </w:r>
      <w:r w:rsidR="001311C5" w:rsidRPr="00D70BCF">
        <w:rPr>
          <w:rFonts w:cs="Arial"/>
          <w:szCs w:val="24"/>
        </w:rPr>
        <w:t>a</w:t>
      </w:r>
      <w:r w:rsidR="00C25AE8" w:rsidRPr="00D70BCF">
        <w:rPr>
          <w:rFonts w:cs="Arial"/>
          <w:szCs w:val="24"/>
        </w:rPr>
        <w:t xml:space="preserve">ll'albo pretorio online </w:t>
      </w:r>
      <w:r w:rsidR="00413E31" w:rsidRPr="00D70BCF">
        <w:rPr>
          <w:rFonts w:cs="Arial"/>
          <w:szCs w:val="24"/>
        </w:rPr>
        <w:t xml:space="preserve">e </w:t>
      </w:r>
      <w:r w:rsidR="00F14476" w:rsidRPr="00D70BCF">
        <w:rPr>
          <w:rFonts w:cs="Arial"/>
          <w:szCs w:val="24"/>
        </w:rPr>
        <w:t xml:space="preserve">alla pubblicazione </w:t>
      </w:r>
      <w:r w:rsidR="00413E31" w:rsidRPr="00D70BCF">
        <w:rPr>
          <w:rFonts w:cs="Arial"/>
          <w:szCs w:val="24"/>
        </w:rPr>
        <w:t>sul sito web del Comune di Ferrar</w:t>
      </w:r>
      <w:r w:rsidRPr="00D70BCF">
        <w:rPr>
          <w:rFonts w:cs="Arial"/>
          <w:szCs w:val="24"/>
        </w:rPr>
        <w:t>a – Amministrazione Trasparente</w:t>
      </w:r>
      <w:r w:rsidR="00F14476" w:rsidRPr="00D70BCF">
        <w:rPr>
          <w:rFonts w:cs="Arial"/>
          <w:szCs w:val="24"/>
        </w:rPr>
        <w:t xml:space="preserve"> del relativo progetto</w:t>
      </w:r>
      <w:r w:rsidR="00D06E7D" w:rsidRPr="00D70BCF">
        <w:rPr>
          <w:rFonts w:cs="Arial"/>
          <w:szCs w:val="24"/>
        </w:rPr>
        <w:t xml:space="preserve"> e della variante</w:t>
      </w:r>
      <w:r w:rsidRPr="00D70BCF">
        <w:rPr>
          <w:rFonts w:cs="Arial"/>
          <w:szCs w:val="24"/>
        </w:rPr>
        <w:t xml:space="preserve">; </w:t>
      </w:r>
      <w:r w:rsidR="00413E31" w:rsidRPr="00D70BCF">
        <w:rPr>
          <w:rFonts w:cs="Arial"/>
          <w:szCs w:val="24"/>
        </w:rPr>
        <w:t xml:space="preserve"> </w:t>
      </w:r>
    </w:p>
    <w:p w:rsidR="0069410F" w:rsidRPr="00D70BCF" w:rsidRDefault="0069410F" w:rsidP="0069410F">
      <w:pPr>
        <w:pStyle w:val="Paragrafoelenco"/>
        <w:rPr>
          <w:rFonts w:cs="Arial"/>
          <w:highlight w:val="yellow"/>
        </w:rPr>
      </w:pPr>
    </w:p>
    <w:p w:rsidR="0069410F" w:rsidRPr="00D70BCF" w:rsidRDefault="0069410F" w:rsidP="00E64DD6">
      <w:pPr>
        <w:pStyle w:val="Intestazione"/>
        <w:numPr>
          <w:ilvl w:val="0"/>
          <w:numId w:val="11"/>
        </w:numPr>
        <w:tabs>
          <w:tab w:val="left" w:pos="1918"/>
        </w:tabs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 xml:space="preserve">che con nota del </w:t>
      </w:r>
      <w:r w:rsidR="002E1121" w:rsidRPr="00D70BCF">
        <w:rPr>
          <w:rFonts w:cs="Arial"/>
          <w:szCs w:val="24"/>
        </w:rPr>
        <w:t>07</w:t>
      </w:r>
      <w:r w:rsidRPr="00D70BCF">
        <w:rPr>
          <w:rFonts w:cs="Arial"/>
          <w:szCs w:val="24"/>
        </w:rPr>
        <w:t>/</w:t>
      </w:r>
      <w:r w:rsidR="002E1121" w:rsidRPr="00D70BCF">
        <w:rPr>
          <w:rFonts w:cs="Arial"/>
          <w:szCs w:val="24"/>
        </w:rPr>
        <w:t>12</w:t>
      </w:r>
      <w:r w:rsidRPr="00D70BCF">
        <w:rPr>
          <w:rFonts w:cs="Arial"/>
          <w:szCs w:val="24"/>
        </w:rPr>
        <w:t>/2021 P</w:t>
      </w:r>
      <w:r w:rsidR="00D70BCF">
        <w:rPr>
          <w:rFonts w:cs="Arial"/>
          <w:szCs w:val="24"/>
        </w:rPr>
        <w:t>.</w:t>
      </w:r>
      <w:r w:rsidRPr="00D70BCF">
        <w:rPr>
          <w:rFonts w:cs="Arial"/>
          <w:szCs w:val="24"/>
        </w:rPr>
        <w:t>G</w:t>
      </w:r>
      <w:r w:rsidR="002E1121" w:rsidRPr="00D70BCF">
        <w:rPr>
          <w:rFonts w:cs="Arial"/>
          <w:szCs w:val="24"/>
        </w:rPr>
        <w:t>.156130</w:t>
      </w:r>
      <w:r w:rsidRPr="00D70BCF">
        <w:rPr>
          <w:rFonts w:cs="Arial"/>
          <w:szCs w:val="24"/>
        </w:rPr>
        <w:t xml:space="preserve"> </w:t>
      </w:r>
      <w:r w:rsidR="002E1121" w:rsidRPr="00D70BCF">
        <w:rPr>
          <w:rFonts w:cs="Arial"/>
          <w:szCs w:val="24"/>
        </w:rPr>
        <w:t xml:space="preserve">del 09/12/2021 </w:t>
      </w:r>
      <w:r w:rsidRPr="00D70BCF">
        <w:rPr>
          <w:rFonts w:cs="Arial"/>
          <w:szCs w:val="24"/>
        </w:rPr>
        <w:t xml:space="preserve">è stata inviata alla Provincia di Ferrara - Settore </w:t>
      </w:r>
      <w:r w:rsidR="002E1121" w:rsidRPr="00D70BCF">
        <w:rPr>
          <w:rFonts w:cs="Arial"/>
          <w:szCs w:val="24"/>
        </w:rPr>
        <w:t>Lavori Pubblici Pianificazione Territoriale e Mobilità</w:t>
      </w:r>
      <w:r w:rsidRPr="00D70BCF">
        <w:rPr>
          <w:rFonts w:cs="Arial"/>
          <w:szCs w:val="24"/>
        </w:rPr>
        <w:t xml:space="preserve"> </w:t>
      </w:r>
      <w:r w:rsidR="002E1121" w:rsidRPr="00D70BCF">
        <w:rPr>
          <w:rFonts w:cs="Arial"/>
          <w:szCs w:val="24"/>
        </w:rPr>
        <w:t>–</w:t>
      </w:r>
      <w:r w:rsidRPr="00D70BCF">
        <w:rPr>
          <w:rFonts w:cs="Arial"/>
          <w:szCs w:val="24"/>
        </w:rPr>
        <w:t xml:space="preserve"> P</w:t>
      </w:r>
      <w:r w:rsidR="002E1121" w:rsidRPr="00D70BCF">
        <w:rPr>
          <w:rFonts w:cs="Arial"/>
          <w:szCs w:val="24"/>
        </w:rPr>
        <w:t>.</w:t>
      </w:r>
      <w:r w:rsidRPr="00D70BCF">
        <w:rPr>
          <w:rFonts w:cs="Arial"/>
          <w:szCs w:val="24"/>
        </w:rPr>
        <w:t>O</w:t>
      </w:r>
      <w:r w:rsidR="002E1121" w:rsidRPr="00D70BCF">
        <w:rPr>
          <w:rFonts w:cs="Arial"/>
          <w:szCs w:val="24"/>
        </w:rPr>
        <w:t>.</w:t>
      </w:r>
      <w:r w:rsidRPr="00D70BCF">
        <w:rPr>
          <w:rFonts w:cs="Arial"/>
          <w:szCs w:val="24"/>
        </w:rPr>
        <w:t xml:space="preserve"> </w:t>
      </w:r>
      <w:r w:rsidR="002E1121" w:rsidRPr="00D70BCF">
        <w:rPr>
          <w:rFonts w:cs="Arial"/>
          <w:szCs w:val="24"/>
        </w:rPr>
        <w:t xml:space="preserve">Pianificazione Territoriale e </w:t>
      </w:r>
      <w:r w:rsidRPr="00D70BCF">
        <w:rPr>
          <w:rFonts w:cs="Arial"/>
          <w:szCs w:val="24"/>
        </w:rPr>
        <w:t xml:space="preserve">Urbanistica copia del progetto di cui al procedimento in </w:t>
      </w:r>
      <w:r w:rsidRPr="00D70BCF">
        <w:rPr>
          <w:rFonts w:cs="Arial"/>
          <w:szCs w:val="24"/>
        </w:rPr>
        <w:lastRenderedPageBreak/>
        <w:t xml:space="preserve">oggetto per l’espressione del parere di competenza ai sensi dell’art. 35 comma 4, della </w:t>
      </w:r>
      <w:proofErr w:type="spellStart"/>
      <w:r w:rsidRPr="00D70BCF">
        <w:rPr>
          <w:rFonts w:cs="Arial"/>
          <w:szCs w:val="24"/>
        </w:rPr>
        <w:t>L.R.</w:t>
      </w:r>
      <w:proofErr w:type="spellEnd"/>
      <w:r w:rsidRPr="00D70BCF">
        <w:rPr>
          <w:rFonts w:cs="Arial"/>
          <w:szCs w:val="24"/>
        </w:rPr>
        <w:t xml:space="preserve"> 20/2000 e per il rilascio del parere preventivo di cui all’art. 5 </w:t>
      </w:r>
      <w:proofErr w:type="spellStart"/>
      <w:r w:rsidRPr="00D70BCF">
        <w:rPr>
          <w:rFonts w:cs="Arial"/>
          <w:szCs w:val="24"/>
        </w:rPr>
        <w:t>L.R.</w:t>
      </w:r>
      <w:proofErr w:type="spellEnd"/>
      <w:r w:rsidRPr="00D70BCF">
        <w:rPr>
          <w:rFonts w:cs="Arial"/>
          <w:szCs w:val="24"/>
        </w:rPr>
        <w:t xml:space="preserve"> 19/08; </w:t>
      </w:r>
    </w:p>
    <w:p w:rsidR="00DA5FC1" w:rsidRPr="00D70BCF" w:rsidRDefault="00DA5FC1" w:rsidP="001A7069">
      <w:pPr>
        <w:pStyle w:val="Intestazione"/>
        <w:tabs>
          <w:tab w:val="left" w:pos="1918"/>
        </w:tabs>
        <w:jc w:val="both"/>
        <w:rPr>
          <w:strike/>
          <w:szCs w:val="24"/>
          <w:highlight w:val="yellow"/>
        </w:rPr>
      </w:pPr>
    </w:p>
    <w:p w:rsidR="00DA5FC1" w:rsidRPr="00D70BCF" w:rsidRDefault="00DA5FC1" w:rsidP="00DA5FC1">
      <w:pPr>
        <w:pStyle w:val="Intestazione"/>
        <w:numPr>
          <w:ilvl w:val="0"/>
          <w:numId w:val="11"/>
        </w:numPr>
        <w:tabs>
          <w:tab w:val="left" w:pos="1918"/>
        </w:tabs>
        <w:jc w:val="both"/>
        <w:rPr>
          <w:szCs w:val="24"/>
        </w:rPr>
      </w:pPr>
      <w:r w:rsidRPr="00D70BCF">
        <w:rPr>
          <w:szCs w:val="24"/>
        </w:rPr>
        <w:t xml:space="preserve">che in data </w:t>
      </w:r>
      <w:r w:rsidR="008709C9" w:rsidRPr="00D70BCF">
        <w:rPr>
          <w:szCs w:val="24"/>
        </w:rPr>
        <w:t>17/12/2021 con nota  P</w:t>
      </w:r>
      <w:r w:rsidR="00D70BCF">
        <w:rPr>
          <w:szCs w:val="24"/>
        </w:rPr>
        <w:t>.</w:t>
      </w:r>
      <w:r w:rsidR="008709C9" w:rsidRPr="00D70BCF">
        <w:rPr>
          <w:szCs w:val="24"/>
        </w:rPr>
        <w:t>G. 159914</w:t>
      </w:r>
      <w:r w:rsidRPr="00D70BCF">
        <w:rPr>
          <w:szCs w:val="24"/>
        </w:rPr>
        <w:t xml:space="preserve"> è stata data comunicazione agli enti militari di competenza, dell’avvenuto deposito;  </w:t>
      </w:r>
    </w:p>
    <w:p w:rsidR="008709C9" w:rsidRPr="00D70BCF" w:rsidRDefault="008709C9" w:rsidP="008709C9">
      <w:pPr>
        <w:pStyle w:val="Paragrafoelenco"/>
      </w:pPr>
    </w:p>
    <w:p w:rsidR="008709C9" w:rsidRPr="00D70BCF" w:rsidRDefault="008709C9" w:rsidP="008709C9">
      <w:pPr>
        <w:pStyle w:val="Paragrafoelenco"/>
        <w:numPr>
          <w:ilvl w:val="0"/>
          <w:numId w:val="11"/>
        </w:numPr>
        <w:tabs>
          <w:tab w:val="left" w:pos="1918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>che in data 17/12/2021 P</w:t>
      </w:r>
      <w:r w:rsidR="00D70BCF">
        <w:rPr>
          <w:rFonts w:ascii="Arial" w:hAnsi="Arial" w:cs="Arial"/>
        </w:rPr>
        <w:t>.</w:t>
      </w:r>
      <w:r w:rsidRPr="00D70BCF">
        <w:rPr>
          <w:rFonts w:ascii="Arial" w:hAnsi="Arial" w:cs="Arial"/>
        </w:rPr>
        <w:t>G. 160060 è stata indetta la Conferenza dei Servizi Decisoria ai sensi dell’art. 14-bis della legge 241/90 per il g</w:t>
      </w:r>
      <w:r w:rsidR="00D06E7D" w:rsidRPr="00D70BCF">
        <w:rPr>
          <w:rFonts w:ascii="Arial" w:hAnsi="Arial" w:cs="Arial"/>
        </w:rPr>
        <w:t>iorno 09/03/2022.</w:t>
      </w:r>
    </w:p>
    <w:p w:rsidR="00F54B9B" w:rsidRPr="00D70BCF" w:rsidRDefault="00F54B9B" w:rsidP="00CE3793">
      <w:pPr>
        <w:jc w:val="both"/>
        <w:rPr>
          <w:rFonts w:cs="Arial"/>
          <w:i/>
          <w:szCs w:val="24"/>
          <w:highlight w:val="yellow"/>
        </w:rPr>
      </w:pPr>
    </w:p>
    <w:p w:rsidR="007E106F" w:rsidRPr="00D70BCF" w:rsidRDefault="007E106F" w:rsidP="007E106F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 xml:space="preserve">Ritenuto pertanto di esprimere, per le motivazioni di cui </w:t>
      </w:r>
      <w:r w:rsidR="00BB799F" w:rsidRPr="00D70BCF">
        <w:rPr>
          <w:rFonts w:cs="Arial"/>
          <w:szCs w:val="24"/>
        </w:rPr>
        <w:t>in</w:t>
      </w:r>
      <w:r w:rsidRPr="00D70BCF">
        <w:rPr>
          <w:rFonts w:cs="Arial"/>
          <w:szCs w:val="24"/>
        </w:rPr>
        <w:t xml:space="preserve"> premess</w:t>
      </w:r>
      <w:r w:rsidR="00BB799F" w:rsidRPr="00D70BCF">
        <w:rPr>
          <w:rFonts w:cs="Arial"/>
          <w:szCs w:val="24"/>
        </w:rPr>
        <w:t>a</w:t>
      </w:r>
      <w:r w:rsidR="009A15EB" w:rsidRPr="00D70BCF">
        <w:rPr>
          <w:szCs w:val="24"/>
        </w:rPr>
        <w:t xml:space="preserve">, </w:t>
      </w:r>
      <w:r w:rsidRPr="00D70BCF">
        <w:rPr>
          <w:rFonts w:cs="Arial"/>
          <w:szCs w:val="24"/>
        </w:rPr>
        <w:t>l’assenso preliminare al procedimento ai sensi dell</w:t>
      </w:r>
      <w:r w:rsidR="00DF7394" w:rsidRPr="00D70BCF">
        <w:rPr>
          <w:rFonts w:cs="Arial"/>
          <w:szCs w:val="24"/>
        </w:rPr>
        <w:t xml:space="preserve">’art. 53 </w:t>
      </w:r>
      <w:r w:rsidR="00D06E7D" w:rsidRPr="00D70BCF">
        <w:rPr>
          <w:rFonts w:cs="Arial"/>
          <w:color w:val="000000"/>
          <w:szCs w:val="24"/>
        </w:rPr>
        <w:t xml:space="preserve">comma 5 </w:t>
      </w:r>
      <w:r w:rsidR="00DF7394" w:rsidRPr="00D70BCF">
        <w:rPr>
          <w:rFonts w:cs="Arial"/>
          <w:szCs w:val="24"/>
        </w:rPr>
        <w:t xml:space="preserve">della </w:t>
      </w:r>
      <w:proofErr w:type="spellStart"/>
      <w:r w:rsidR="00DF7394" w:rsidRPr="00D70BCF">
        <w:rPr>
          <w:rFonts w:cs="Arial"/>
          <w:szCs w:val="24"/>
        </w:rPr>
        <w:t>L.R.</w:t>
      </w:r>
      <w:proofErr w:type="spellEnd"/>
      <w:r w:rsidR="00DF7394" w:rsidRPr="00D70BCF">
        <w:rPr>
          <w:rFonts w:cs="Arial"/>
          <w:szCs w:val="24"/>
        </w:rPr>
        <w:t xml:space="preserve"> n. 24/2017 </w:t>
      </w:r>
      <w:r w:rsidRPr="00D70BCF">
        <w:rPr>
          <w:rFonts w:cs="Arial"/>
          <w:szCs w:val="24"/>
        </w:rPr>
        <w:t>per l’approvazi</w:t>
      </w:r>
      <w:r w:rsidR="00DF7394" w:rsidRPr="00D70BCF">
        <w:rPr>
          <w:rFonts w:cs="Arial"/>
          <w:szCs w:val="24"/>
        </w:rPr>
        <w:t xml:space="preserve">one del progetto di </w:t>
      </w:r>
      <w:r w:rsidR="00DF7394" w:rsidRPr="00D70BCF">
        <w:rPr>
          <w:rFonts w:cs="Arial"/>
          <w:bCs/>
          <w:iCs/>
          <w:szCs w:val="24"/>
        </w:rPr>
        <w:t xml:space="preserve">potenziamento </w:t>
      </w:r>
      <w:r w:rsidR="00CE3793" w:rsidRPr="00D70BCF">
        <w:rPr>
          <w:rFonts w:cs="Arial"/>
          <w:bCs/>
          <w:iCs/>
          <w:szCs w:val="24"/>
        </w:rPr>
        <w:t>dell’esistente</w:t>
      </w:r>
      <w:r w:rsidR="00DF7394" w:rsidRPr="00D70BCF">
        <w:rPr>
          <w:rFonts w:cs="Arial"/>
          <w:bCs/>
          <w:iCs/>
          <w:szCs w:val="24"/>
        </w:rPr>
        <w:t xml:space="preserve"> distributore </w:t>
      </w:r>
      <w:r w:rsidR="00CE3793" w:rsidRPr="00D70BCF">
        <w:rPr>
          <w:rFonts w:cs="Arial"/>
          <w:bCs/>
          <w:iCs/>
          <w:szCs w:val="24"/>
        </w:rPr>
        <w:t xml:space="preserve">di </w:t>
      </w:r>
      <w:r w:rsidR="00DF7394" w:rsidRPr="00D70BCF">
        <w:rPr>
          <w:rFonts w:cs="Arial"/>
          <w:bCs/>
          <w:iCs/>
          <w:szCs w:val="24"/>
        </w:rPr>
        <w:t xml:space="preserve">carburanti, sito in via </w:t>
      </w:r>
      <w:r w:rsidR="005D6EE5" w:rsidRPr="00D70BCF">
        <w:rPr>
          <w:rFonts w:cs="Arial"/>
          <w:bCs/>
          <w:iCs/>
          <w:szCs w:val="24"/>
        </w:rPr>
        <w:t xml:space="preserve">Lanfranco </w:t>
      </w:r>
      <w:proofErr w:type="spellStart"/>
      <w:r w:rsidR="005D6EE5" w:rsidRPr="00D70BCF">
        <w:rPr>
          <w:rFonts w:cs="Arial"/>
          <w:bCs/>
          <w:iCs/>
          <w:szCs w:val="24"/>
        </w:rPr>
        <w:t>Caretti</w:t>
      </w:r>
      <w:proofErr w:type="spellEnd"/>
      <w:r w:rsidR="005D6EE5" w:rsidRPr="00D70BCF">
        <w:rPr>
          <w:rFonts w:cs="Arial"/>
          <w:bCs/>
          <w:iCs/>
          <w:szCs w:val="24"/>
        </w:rPr>
        <w:t xml:space="preserve"> n.1</w:t>
      </w:r>
      <w:r w:rsidR="00DF7394" w:rsidRPr="00D70BCF">
        <w:rPr>
          <w:rFonts w:cs="Arial"/>
          <w:bCs/>
          <w:iCs/>
          <w:szCs w:val="24"/>
        </w:rPr>
        <w:t xml:space="preserve">, </w:t>
      </w:r>
      <w:r w:rsidR="007C1892" w:rsidRPr="00D70BCF">
        <w:rPr>
          <w:rFonts w:cs="Arial"/>
          <w:szCs w:val="24"/>
        </w:rPr>
        <w:t xml:space="preserve">presentato da </w:t>
      </w:r>
      <w:r w:rsidR="007C1892" w:rsidRPr="00D70BCF">
        <w:rPr>
          <w:rFonts w:cs="Arial"/>
          <w:bCs/>
          <w:color w:val="000000"/>
          <w:szCs w:val="24"/>
        </w:rPr>
        <w:t xml:space="preserve">Vega Carburanti </w:t>
      </w:r>
      <w:proofErr w:type="spellStart"/>
      <w:r w:rsidR="007C1892" w:rsidRPr="00D70BCF">
        <w:rPr>
          <w:rFonts w:cs="Arial"/>
          <w:bCs/>
          <w:color w:val="000000"/>
          <w:szCs w:val="24"/>
        </w:rPr>
        <w:t>S.p.A</w:t>
      </w:r>
      <w:proofErr w:type="spellEnd"/>
      <w:r w:rsidR="007C1892" w:rsidRPr="00D70BCF">
        <w:rPr>
          <w:rFonts w:cs="Arial"/>
          <w:bCs/>
          <w:iCs/>
          <w:szCs w:val="24"/>
        </w:rPr>
        <w:t xml:space="preserve">, </w:t>
      </w:r>
      <w:r w:rsidR="005D6EE5" w:rsidRPr="00D70BCF">
        <w:rPr>
          <w:rFonts w:cs="Arial"/>
          <w:bCs/>
          <w:iCs/>
          <w:szCs w:val="24"/>
        </w:rPr>
        <w:t>con</w:t>
      </w:r>
      <w:r w:rsidR="00DF7394" w:rsidRPr="00D70BCF">
        <w:rPr>
          <w:rFonts w:cs="Arial"/>
          <w:bCs/>
          <w:iCs/>
          <w:szCs w:val="24"/>
        </w:rPr>
        <w:t xml:space="preserve"> modifica</w:t>
      </w:r>
      <w:r w:rsidR="005D6EE5" w:rsidRPr="00D70BCF">
        <w:rPr>
          <w:rFonts w:cs="Arial"/>
          <w:bCs/>
          <w:iCs/>
          <w:szCs w:val="24"/>
        </w:rPr>
        <w:t xml:space="preserve"> non sostanziale</w:t>
      </w:r>
      <w:r w:rsidR="00DF7394" w:rsidRPr="00D70BCF">
        <w:rPr>
          <w:rFonts w:cs="Arial"/>
          <w:bCs/>
          <w:iCs/>
          <w:szCs w:val="24"/>
        </w:rPr>
        <w:t xml:space="preserve"> dell’AUA e </w:t>
      </w:r>
      <w:r w:rsidRPr="00D70BCF">
        <w:rPr>
          <w:rFonts w:cs="Arial"/>
          <w:szCs w:val="24"/>
        </w:rPr>
        <w:t xml:space="preserve">in variante al </w:t>
      </w:r>
      <w:proofErr w:type="spellStart"/>
      <w:r w:rsidRPr="00D70BCF">
        <w:rPr>
          <w:rFonts w:cs="Arial"/>
          <w:szCs w:val="24"/>
        </w:rPr>
        <w:t>II</w:t>
      </w:r>
      <w:r w:rsidR="00C25AE8" w:rsidRPr="00D70BCF">
        <w:rPr>
          <w:rFonts w:cs="Arial"/>
          <w:szCs w:val="24"/>
        </w:rPr>
        <w:t>^</w:t>
      </w:r>
      <w:proofErr w:type="spellEnd"/>
      <w:r w:rsidRPr="00D70BCF">
        <w:rPr>
          <w:rFonts w:cs="Arial"/>
          <w:szCs w:val="24"/>
        </w:rPr>
        <w:t xml:space="preserve"> POC</w:t>
      </w:r>
      <w:r w:rsidR="00DF7394" w:rsidRPr="00D70BCF">
        <w:rPr>
          <w:rFonts w:cs="Arial"/>
          <w:szCs w:val="24"/>
        </w:rPr>
        <w:t>,</w:t>
      </w:r>
      <w:r w:rsidRPr="00D70BCF">
        <w:rPr>
          <w:rFonts w:cs="Arial"/>
          <w:szCs w:val="24"/>
        </w:rPr>
        <w:t xml:space="preserve"> illustrato nelle premesse e meglio rappresentato dai seguenti elaborati depositati agli atti </w:t>
      </w:r>
      <w:r w:rsidR="00672F7D" w:rsidRPr="00D70BCF">
        <w:rPr>
          <w:rFonts w:cs="Arial"/>
          <w:color w:val="000000"/>
          <w:szCs w:val="24"/>
        </w:rPr>
        <w:t>della U</w:t>
      </w:r>
      <w:r w:rsidR="005D6EE5" w:rsidRPr="00D70BCF">
        <w:rPr>
          <w:rFonts w:cs="Arial"/>
          <w:color w:val="000000"/>
          <w:szCs w:val="24"/>
        </w:rPr>
        <w:t>.</w:t>
      </w:r>
      <w:r w:rsidR="00672F7D" w:rsidRPr="00D70BCF">
        <w:rPr>
          <w:rFonts w:cs="Arial"/>
          <w:color w:val="000000"/>
          <w:szCs w:val="24"/>
        </w:rPr>
        <w:t>O</w:t>
      </w:r>
      <w:r w:rsidR="005D6EE5" w:rsidRPr="00D70BCF">
        <w:rPr>
          <w:rFonts w:cs="Arial"/>
          <w:color w:val="000000"/>
          <w:szCs w:val="24"/>
        </w:rPr>
        <w:t xml:space="preserve">. Pianificazione Attuativa del </w:t>
      </w:r>
      <w:r w:rsidR="00672F7D" w:rsidRPr="00D70BCF">
        <w:rPr>
          <w:rFonts w:cs="Arial"/>
          <w:color w:val="000000"/>
          <w:szCs w:val="24"/>
        </w:rPr>
        <w:t>Servizio Qualità Edilizia SUE SUAP e Pianificazione Territoriale</w:t>
      </w:r>
      <w:r w:rsidRPr="00D70BCF">
        <w:rPr>
          <w:rFonts w:cs="Arial"/>
          <w:szCs w:val="24"/>
        </w:rPr>
        <w:t>:</w:t>
      </w:r>
    </w:p>
    <w:p w:rsidR="007E106F" w:rsidRPr="00D70BCF" w:rsidRDefault="007E106F" w:rsidP="007E106F">
      <w:pPr>
        <w:autoSpaceDE w:val="0"/>
        <w:autoSpaceDN w:val="0"/>
        <w:adjustRightInd w:val="0"/>
        <w:jc w:val="both"/>
        <w:rPr>
          <w:rFonts w:cs="Arial"/>
          <w:szCs w:val="24"/>
          <w:highlight w:val="yellow"/>
        </w:rPr>
      </w:pPr>
    </w:p>
    <w:p w:rsidR="007E106F" w:rsidRPr="00D70BCF" w:rsidRDefault="007E106F" w:rsidP="007E106F">
      <w:pPr>
        <w:pStyle w:val="Default"/>
        <w:spacing w:after="27"/>
        <w:rPr>
          <w:rFonts w:ascii="Arial" w:hAnsi="Arial" w:cs="Arial"/>
          <w:b/>
          <w:color w:val="222222"/>
          <w:shd w:val="clear" w:color="auto" w:fill="FFFFFF"/>
        </w:rPr>
      </w:pPr>
      <w:r w:rsidRPr="00D70BCF">
        <w:rPr>
          <w:rFonts w:ascii="Arial" w:hAnsi="Arial" w:cs="Arial"/>
          <w:b/>
          <w:color w:val="222222"/>
          <w:shd w:val="clear" w:color="auto" w:fill="FFFFFF"/>
        </w:rPr>
        <w:t>Elaborati di variante</w:t>
      </w:r>
      <w:r w:rsidR="00BE7508" w:rsidRPr="00D70BCF">
        <w:rPr>
          <w:rFonts w:ascii="Arial" w:hAnsi="Arial" w:cs="Arial"/>
          <w:b/>
          <w:color w:val="222222"/>
          <w:shd w:val="clear" w:color="auto" w:fill="FFFFFF"/>
        </w:rPr>
        <w:t xml:space="preserve"> II</w:t>
      </w:r>
      <w:r w:rsidR="00D07CAC" w:rsidRPr="00D70BCF">
        <w:rPr>
          <w:rFonts w:ascii="Arial" w:hAnsi="Arial" w:cs="Arial"/>
          <w:b/>
          <w:color w:val="222222"/>
          <w:shd w:val="clear" w:color="auto" w:fill="FFFFFF"/>
        </w:rPr>
        <w:t>^</w:t>
      </w:r>
      <w:r w:rsidR="00BE7508" w:rsidRPr="00D70BCF">
        <w:rPr>
          <w:rFonts w:ascii="Arial" w:hAnsi="Arial" w:cs="Arial"/>
          <w:b/>
          <w:color w:val="222222"/>
          <w:shd w:val="clear" w:color="auto" w:fill="FFFFFF"/>
        </w:rPr>
        <w:t xml:space="preserve"> POC</w:t>
      </w:r>
      <w:r w:rsidRPr="00D70BCF">
        <w:rPr>
          <w:rFonts w:ascii="Arial" w:hAnsi="Arial" w:cs="Arial"/>
          <w:b/>
          <w:color w:val="222222"/>
          <w:shd w:val="clear" w:color="auto" w:fill="FFFFFF"/>
        </w:rPr>
        <w:t>:</w:t>
      </w:r>
    </w:p>
    <w:p w:rsidR="00840843" w:rsidRPr="00D70BCF" w:rsidRDefault="00840843" w:rsidP="00840843">
      <w:pPr>
        <w:pStyle w:val="Default"/>
        <w:spacing w:after="27"/>
        <w:rPr>
          <w:rFonts w:ascii="Arial" w:hAnsi="Arial" w:cs="Arial"/>
          <w:color w:val="222222"/>
          <w:highlight w:val="yellow"/>
          <w:shd w:val="clear" w:color="auto" w:fill="FFFFFF"/>
        </w:rPr>
      </w:pPr>
    </w:p>
    <w:p w:rsidR="00840843" w:rsidRPr="00D70BCF" w:rsidRDefault="00B91E6A" w:rsidP="001A60CA">
      <w:pPr>
        <w:pStyle w:val="Default"/>
        <w:numPr>
          <w:ilvl w:val="0"/>
          <w:numId w:val="23"/>
        </w:numPr>
        <w:spacing w:after="27"/>
        <w:jc w:val="both"/>
        <w:rPr>
          <w:rFonts w:ascii="Arial" w:hAnsi="Arial" w:cs="Arial"/>
        </w:rPr>
      </w:pPr>
      <w:r w:rsidRPr="00D70BCF">
        <w:rPr>
          <w:rFonts w:ascii="Arial" w:hAnsi="Arial" w:cs="Arial"/>
          <w:color w:val="222222"/>
          <w:shd w:val="clear" w:color="auto" w:fill="FFFFFF"/>
        </w:rPr>
        <w:t>Tav. RP4.4 –</w:t>
      </w:r>
      <w:r w:rsidR="00F823AC" w:rsidRPr="00D70BCF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D70BCF">
        <w:rPr>
          <w:rFonts w:ascii="Arial" w:hAnsi="Arial" w:cs="Arial"/>
          <w:color w:val="222222"/>
          <w:shd w:val="clear" w:color="auto" w:fill="FFFFFF"/>
        </w:rPr>
        <w:t>Coordinamento RUE-POC -</w:t>
      </w:r>
      <w:r w:rsidRPr="00D70BCF">
        <w:rPr>
          <w:rFonts w:ascii="Arial" w:hAnsi="Arial" w:cs="Arial"/>
        </w:rPr>
        <w:t xml:space="preserve"> </w:t>
      </w:r>
      <w:r w:rsidR="00A77BA0" w:rsidRPr="00D70BCF">
        <w:rPr>
          <w:rFonts w:ascii="Arial" w:hAnsi="Arial" w:cs="Arial"/>
          <w:color w:val="222222"/>
          <w:shd w:val="clear" w:color="auto" w:fill="FFFFFF"/>
        </w:rPr>
        <w:t>Destinazioni d’Uso</w:t>
      </w:r>
      <w:r w:rsidRPr="00D70BCF">
        <w:rPr>
          <w:rFonts w:ascii="Arial" w:hAnsi="Arial" w:cs="Arial"/>
          <w:color w:val="222222"/>
          <w:shd w:val="clear" w:color="auto" w:fill="FFFFFF"/>
        </w:rPr>
        <w:t xml:space="preserve"> (art. 105 NTA RUE) </w:t>
      </w:r>
      <w:r w:rsidR="00A77BA0" w:rsidRPr="00D70BCF">
        <w:rPr>
          <w:rFonts w:ascii="Arial" w:hAnsi="Arial" w:cs="Arial"/>
          <w:color w:val="222222"/>
          <w:shd w:val="clear" w:color="auto" w:fill="FFFFFF"/>
        </w:rPr>
        <w:t xml:space="preserve"> </w:t>
      </w:r>
    </w:p>
    <w:p w:rsidR="00C2220C" w:rsidRPr="00D70BCF" w:rsidRDefault="00C2220C" w:rsidP="00C2220C">
      <w:pPr>
        <w:pStyle w:val="Default"/>
        <w:numPr>
          <w:ilvl w:val="0"/>
          <w:numId w:val="23"/>
        </w:numPr>
        <w:spacing w:after="27"/>
        <w:jc w:val="both"/>
        <w:rPr>
          <w:rFonts w:ascii="Arial" w:hAnsi="Arial" w:cs="Arial"/>
        </w:rPr>
      </w:pPr>
      <w:r w:rsidRPr="00D70BCF">
        <w:rPr>
          <w:rFonts w:ascii="Arial" w:hAnsi="Arial" w:cs="Arial"/>
          <w:color w:val="222222"/>
          <w:shd w:val="clear" w:color="auto" w:fill="FFFFFF"/>
        </w:rPr>
        <w:t>Tav. RP4.5 –</w:t>
      </w:r>
      <w:r w:rsidR="00F823AC" w:rsidRPr="00D70BCF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D70BCF">
        <w:rPr>
          <w:rFonts w:ascii="Arial" w:hAnsi="Arial" w:cs="Arial"/>
          <w:color w:val="222222"/>
          <w:shd w:val="clear" w:color="auto" w:fill="FFFFFF"/>
        </w:rPr>
        <w:t>Coordinamento RUE-POC -</w:t>
      </w:r>
      <w:r w:rsidRPr="00D70BCF">
        <w:rPr>
          <w:rFonts w:ascii="Arial" w:hAnsi="Arial" w:cs="Arial"/>
        </w:rPr>
        <w:t xml:space="preserve"> </w:t>
      </w:r>
      <w:r w:rsidRPr="00D70BCF">
        <w:rPr>
          <w:rFonts w:ascii="Arial" w:hAnsi="Arial" w:cs="Arial"/>
          <w:color w:val="222222"/>
          <w:shd w:val="clear" w:color="auto" w:fill="FFFFFF"/>
        </w:rPr>
        <w:t xml:space="preserve">Destinazioni d’Uso (art. 105 NTA RUE)  </w:t>
      </w:r>
    </w:p>
    <w:p w:rsidR="00F823AC" w:rsidRPr="00D70BCF" w:rsidRDefault="00F823AC" w:rsidP="00F823AC">
      <w:pPr>
        <w:pStyle w:val="Default"/>
        <w:numPr>
          <w:ilvl w:val="0"/>
          <w:numId w:val="23"/>
        </w:numPr>
        <w:spacing w:after="27"/>
        <w:jc w:val="both"/>
        <w:rPr>
          <w:rFonts w:ascii="Arial" w:hAnsi="Arial" w:cs="Arial"/>
        </w:rPr>
      </w:pPr>
      <w:r w:rsidRPr="00D70BCF">
        <w:rPr>
          <w:rFonts w:ascii="Arial" w:hAnsi="Arial" w:cs="Arial"/>
          <w:color w:val="222222"/>
          <w:shd w:val="clear" w:color="auto" w:fill="FFFFFF"/>
        </w:rPr>
        <w:t xml:space="preserve">Tav. RP5.4 – Tavola dei vincoli – Beni culturali e ambientali  </w:t>
      </w:r>
    </w:p>
    <w:p w:rsidR="00F823AC" w:rsidRPr="00D70BCF" w:rsidRDefault="00F823AC" w:rsidP="00F823AC">
      <w:pPr>
        <w:pStyle w:val="Default"/>
        <w:numPr>
          <w:ilvl w:val="0"/>
          <w:numId w:val="23"/>
        </w:numPr>
        <w:spacing w:after="27"/>
        <w:jc w:val="both"/>
        <w:rPr>
          <w:rFonts w:ascii="Arial" w:hAnsi="Arial" w:cs="Arial"/>
        </w:rPr>
      </w:pPr>
      <w:r w:rsidRPr="00D70BCF">
        <w:rPr>
          <w:rFonts w:ascii="Arial" w:hAnsi="Arial" w:cs="Arial"/>
          <w:color w:val="222222"/>
          <w:shd w:val="clear" w:color="auto" w:fill="FFFFFF"/>
        </w:rPr>
        <w:t xml:space="preserve">Tav. RP5.5 – Tavola dei vincoli – Beni culturali e ambientali  </w:t>
      </w:r>
    </w:p>
    <w:p w:rsidR="009F2F75" w:rsidRPr="00D70BCF" w:rsidRDefault="009F2F75" w:rsidP="009F2F75">
      <w:pPr>
        <w:pStyle w:val="Default"/>
        <w:numPr>
          <w:ilvl w:val="0"/>
          <w:numId w:val="23"/>
        </w:numPr>
        <w:spacing w:after="27"/>
        <w:jc w:val="both"/>
        <w:rPr>
          <w:rFonts w:ascii="Arial" w:hAnsi="Arial" w:cs="Arial"/>
        </w:rPr>
      </w:pPr>
      <w:r w:rsidRPr="00D70BCF">
        <w:rPr>
          <w:rFonts w:ascii="Arial" w:hAnsi="Arial" w:cs="Arial"/>
          <w:color w:val="222222"/>
          <w:shd w:val="clear" w:color="auto" w:fill="FFFFFF"/>
        </w:rPr>
        <w:t xml:space="preserve">Tav. RP6.4 – Tavola dei vincoli – Regole per le trasformazioni  </w:t>
      </w:r>
    </w:p>
    <w:p w:rsidR="00F823AC" w:rsidRPr="00D70BCF" w:rsidRDefault="009F2F75" w:rsidP="006661F0">
      <w:pPr>
        <w:pStyle w:val="Default"/>
        <w:numPr>
          <w:ilvl w:val="0"/>
          <w:numId w:val="23"/>
        </w:numPr>
        <w:spacing w:after="27"/>
        <w:jc w:val="both"/>
        <w:rPr>
          <w:rFonts w:ascii="Arial" w:hAnsi="Arial" w:cs="Arial"/>
        </w:rPr>
      </w:pPr>
      <w:r w:rsidRPr="00D70BCF">
        <w:rPr>
          <w:rFonts w:ascii="Arial" w:hAnsi="Arial" w:cs="Arial"/>
          <w:color w:val="222222"/>
          <w:shd w:val="clear" w:color="auto" w:fill="FFFFFF"/>
        </w:rPr>
        <w:t xml:space="preserve">Tav. RP6.5 – Tavola dei vincoli – Regole per le trasformazioni  </w:t>
      </w:r>
    </w:p>
    <w:p w:rsidR="00840843" w:rsidRPr="00D70BCF" w:rsidRDefault="00840843" w:rsidP="001A60CA">
      <w:pPr>
        <w:pStyle w:val="Default"/>
        <w:numPr>
          <w:ilvl w:val="0"/>
          <w:numId w:val="23"/>
        </w:numPr>
        <w:spacing w:after="27"/>
        <w:jc w:val="both"/>
        <w:rPr>
          <w:rFonts w:ascii="Arial" w:hAnsi="Arial" w:cs="Arial"/>
          <w:color w:val="222222"/>
          <w:shd w:val="clear" w:color="auto" w:fill="FFFFFF"/>
        </w:rPr>
      </w:pPr>
      <w:r w:rsidRPr="00D70BCF">
        <w:rPr>
          <w:rFonts w:ascii="Arial" w:hAnsi="Arial" w:cs="Arial"/>
          <w:color w:val="222222"/>
          <w:shd w:val="clear" w:color="auto" w:fill="FFFFFF"/>
        </w:rPr>
        <w:t xml:space="preserve">Scheda POC </w:t>
      </w:r>
      <w:r w:rsidR="00D31FC3" w:rsidRPr="00D70BCF">
        <w:rPr>
          <w:rFonts w:ascii="Arial" w:hAnsi="Arial" w:cs="Arial"/>
          <w:color w:val="222222"/>
          <w:shd w:val="clear" w:color="auto" w:fill="FFFFFF"/>
        </w:rPr>
        <w:t>7</w:t>
      </w:r>
      <w:r w:rsidRPr="00D70BCF">
        <w:rPr>
          <w:rFonts w:ascii="Arial" w:hAnsi="Arial" w:cs="Arial"/>
          <w:color w:val="222222"/>
          <w:shd w:val="clear" w:color="auto" w:fill="FFFFFF"/>
        </w:rPr>
        <w:t>ANS – 0</w:t>
      </w:r>
      <w:r w:rsidR="00D31FC3" w:rsidRPr="00D70BCF">
        <w:rPr>
          <w:rFonts w:ascii="Arial" w:hAnsi="Arial" w:cs="Arial"/>
          <w:color w:val="222222"/>
          <w:shd w:val="clear" w:color="auto" w:fill="FFFFFF"/>
        </w:rPr>
        <w:t>6</w:t>
      </w:r>
      <w:r w:rsidRPr="00D70BCF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D31FC3" w:rsidRPr="00D70BCF">
        <w:rPr>
          <w:rFonts w:ascii="Arial" w:hAnsi="Arial" w:cs="Arial"/>
          <w:color w:val="222222"/>
          <w:shd w:val="clear" w:color="auto" w:fill="FFFFFF"/>
        </w:rPr>
        <w:t>Vega Carburanti S.p.A.</w:t>
      </w:r>
      <w:r w:rsidRPr="00D70BCF">
        <w:rPr>
          <w:rFonts w:ascii="Arial" w:hAnsi="Arial" w:cs="Arial"/>
          <w:color w:val="222222"/>
          <w:shd w:val="clear" w:color="auto" w:fill="FFFFFF"/>
        </w:rPr>
        <w:t xml:space="preserve"> – Ferrara via </w:t>
      </w:r>
      <w:r w:rsidR="00D31FC3" w:rsidRPr="00D70BCF">
        <w:rPr>
          <w:rFonts w:ascii="Arial" w:hAnsi="Arial" w:cs="Arial"/>
          <w:color w:val="222222"/>
          <w:shd w:val="clear" w:color="auto" w:fill="FFFFFF"/>
        </w:rPr>
        <w:t>Caretti</w:t>
      </w:r>
    </w:p>
    <w:p w:rsidR="00840843" w:rsidRPr="00D70BCF" w:rsidRDefault="00840843" w:rsidP="007E106F">
      <w:pPr>
        <w:pStyle w:val="Default"/>
        <w:spacing w:after="27"/>
        <w:jc w:val="both"/>
        <w:rPr>
          <w:rFonts w:ascii="Arial" w:hAnsi="Arial" w:cs="Arial"/>
          <w:b/>
          <w:color w:val="222222"/>
          <w:highlight w:val="yellow"/>
          <w:shd w:val="clear" w:color="auto" w:fill="FFFFFF"/>
        </w:rPr>
      </w:pPr>
    </w:p>
    <w:p w:rsidR="00E3503A" w:rsidRPr="00D70BCF" w:rsidRDefault="00840843" w:rsidP="00CD1995">
      <w:pPr>
        <w:jc w:val="both"/>
        <w:rPr>
          <w:rFonts w:cs="Arial"/>
          <w:b/>
          <w:color w:val="222222"/>
          <w:szCs w:val="24"/>
          <w:shd w:val="clear" w:color="auto" w:fill="FFFFFF"/>
        </w:rPr>
      </w:pPr>
      <w:r w:rsidRPr="00D70BCF">
        <w:rPr>
          <w:rFonts w:cs="Arial"/>
          <w:b/>
          <w:color w:val="222222"/>
          <w:szCs w:val="24"/>
          <w:shd w:val="clear" w:color="auto" w:fill="FFFFFF"/>
        </w:rPr>
        <w:t>Elaborati del progetto</w:t>
      </w:r>
      <w:r w:rsidR="00BF4C17" w:rsidRPr="00D70BCF">
        <w:rPr>
          <w:rFonts w:cs="Arial"/>
          <w:b/>
          <w:color w:val="222222"/>
          <w:szCs w:val="24"/>
          <w:shd w:val="clear" w:color="auto" w:fill="FFFFFF"/>
        </w:rPr>
        <w:t>:</w:t>
      </w:r>
    </w:p>
    <w:p w:rsidR="0048103B" w:rsidRPr="00D70BCF" w:rsidRDefault="0048103B" w:rsidP="0048103B">
      <w:pPr>
        <w:jc w:val="both"/>
        <w:rPr>
          <w:rStyle w:val="Enfasigrassetto"/>
          <w:rFonts w:cs="Arial"/>
          <w:szCs w:val="24"/>
          <w:highlight w:val="yellow"/>
          <w:shd w:val="clear" w:color="auto" w:fill="EDEAE2"/>
        </w:rPr>
      </w:pPr>
    </w:p>
    <w:p w:rsidR="00BC4102" w:rsidRPr="00D70BCF" w:rsidRDefault="00BC4102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>23 commercio_composizione_impianto_vega_ferrara.pdf.p7m</w:t>
      </w:r>
      <w:r w:rsidR="0097628D" w:rsidRPr="00D70BCF">
        <w:rPr>
          <w:rFonts w:ascii="Arial" w:hAnsi="Arial" w:cs="Arial"/>
        </w:rPr>
        <w:t xml:space="preserve"> </w:t>
      </w:r>
      <w:r w:rsidR="0097628D" w:rsidRPr="00D70BCF">
        <w:t>(</w:t>
      </w:r>
      <w:r w:rsidR="0097628D" w:rsidRPr="00D70BCF">
        <w:rPr>
          <w:rFonts w:ascii="Arial" w:hAnsi="Arial" w:cs="Arial"/>
        </w:rPr>
        <w:t>PG 64537 del 26.05.2021)</w:t>
      </w:r>
    </w:p>
    <w:p w:rsidR="00BC4102" w:rsidRPr="00D70BCF" w:rsidRDefault="00BC4102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>25 commercio_relazione_tecnica_domanda_autorizz_potenziamento_vega_ferrara.pdf.p7m</w:t>
      </w:r>
      <w:r w:rsidR="00D01F86" w:rsidRPr="00D70BCF">
        <w:rPr>
          <w:rFonts w:ascii="Arial" w:hAnsi="Arial" w:cs="Arial"/>
        </w:rPr>
        <w:t xml:space="preserve"> </w:t>
      </w:r>
      <w:r w:rsidR="00D01F86" w:rsidRPr="00D70BCF">
        <w:t>(</w:t>
      </w:r>
      <w:r w:rsidR="00D01F86" w:rsidRPr="00D70BCF">
        <w:rPr>
          <w:rFonts w:ascii="Arial" w:hAnsi="Arial" w:cs="Arial"/>
        </w:rPr>
        <w:t>PG 64537 del 26.05.2021)</w:t>
      </w:r>
    </w:p>
    <w:p w:rsidR="007F0801" w:rsidRPr="00D70BCF" w:rsidRDefault="007F0801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>Allegato 2_Mod.2_Relaz.Tecnica_asseverata.pdf.p7m</w:t>
      </w:r>
      <w:r w:rsidR="000C6948" w:rsidRPr="00D70BCF">
        <w:rPr>
          <w:rFonts w:ascii="Arial" w:hAnsi="Arial" w:cs="Arial"/>
        </w:rPr>
        <w:t xml:space="preserve"> (PG.93578 del 30/07/2021)</w:t>
      </w:r>
    </w:p>
    <w:p w:rsidR="007F0801" w:rsidRPr="00D70BCF" w:rsidRDefault="007F0801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>Allegato 4_Relazione_inquadramento_urbanistico_relazione ambientale.pdf.p7m</w:t>
      </w:r>
      <w:r w:rsidR="000C6948" w:rsidRPr="00D70BCF">
        <w:rPr>
          <w:rFonts w:ascii="Arial" w:hAnsi="Arial" w:cs="Arial"/>
        </w:rPr>
        <w:t xml:space="preserve"> (PG.93578 del 30/07/2021)</w:t>
      </w:r>
    </w:p>
    <w:p w:rsidR="007F0801" w:rsidRPr="00D70BCF" w:rsidRDefault="007F0801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>Allegato 5_Relazione_tecnica_Edilizia.pdf.p7m</w:t>
      </w:r>
      <w:r w:rsidR="000C6948" w:rsidRPr="00D70BCF">
        <w:rPr>
          <w:rFonts w:ascii="Arial" w:hAnsi="Arial" w:cs="Arial"/>
        </w:rPr>
        <w:t xml:space="preserve"> (PG.93578 del 30/07/2021)</w:t>
      </w:r>
    </w:p>
    <w:p w:rsidR="007F0801" w:rsidRPr="00D70BCF" w:rsidRDefault="007F0801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>Allegato 6_Valutazione previsionale di impatto acustico.p7m</w:t>
      </w:r>
      <w:r w:rsidR="000C6948" w:rsidRPr="00D70BCF">
        <w:rPr>
          <w:rFonts w:ascii="Arial" w:hAnsi="Arial" w:cs="Arial"/>
        </w:rPr>
        <w:t xml:space="preserve"> (PG.93578 del 30/07/2021)</w:t>
      </w:r>
    </w:p>
    <w:p w:rsidR="007F0801" w:rsidRPr="00D70BCF" w:rsidRDefault="007F0801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>Allegato 7_Determinazione requisiti acustici passivi.p7m</w:t>
      </w:r>
      <w:r w:rsidR="000C6948" w:rsidRPr="00D70BCF">
        <w:rPr>
          <w:rFonts w:ascii="Arial" w:hAnsi="Arial" w:cs="Arial"/>
        </w:rPr>
        <w:t xml:space="preserve"> (PG.93578 del 30/07/2021)</w:t>
      </w:r>
    </w:p>
    <w:p w:rsidR="007F0801" w:rsidRPr="00D70BCF" w:rsidRDefault="007F0801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>Allegato 8_Progetto Impianto Elettrico.pdf.p7m</w:t>
      </w:r>
      <w:r w:rsidR="000C6948" w:rsidRPr="00D70BCF">
        <w:rPr>
          <w:rFonts w:ascii="Arial" w:hAnsi="Arial" w:cs="Arial"/>
        </w:rPr>
        <w:t xml:space="preserve"> (PG.93578 del 30/07/2021)</w:t>
      </w:r>
    </w:p>
    <w:p w:rsidR="007F0801" w:rsidRPr="00D70BCF" w:rsidRDefault="007F0801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>TAV_01bis_Planimetria_generale_stato_attuale.pdf.p7m</w:t>
      </w:r>
      <w:r w:rsidR="000C6948" w:rsidRPr="00D70BCF">
        <w:rPr>
          <w:rFonts w:ascii="Arial" w:hAnsi="Arial" w:cs="Arial"/>
        </w:rPr>
        <w:t xml:space="preserve"> (PG.93578 del 30/07/2021)</w:t>
      </w:r>
    </w:p>
    <w:p w:rsidR="007F0801" w:rsidRPr="00D70BCF" w:rsidRDefault="007F0801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>TAV_02bis_Planimetria_generale_stato_di progetto.pdf.p7m</w:t>
      </w:r>
      <w:r w:rsidR="000C6948" w:rsidRPr="00D70BCF">
        <w:rPr>
          <w:rFonts w:ascii="Arial" w:hAnsi="Arial" w:cs="Arial"/>
        </w:rPr>
        <w:t xml:space="preserve"> (PG.93578 del 30/07/2021)</w:t>
      </w:r>
    </w:p>
    <w:p w:rsidR="007F0801" w:rsidRPr="00D70BCF" w:rsidRDefault="007F0801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>TAV_03bis_Planimetria_generale_stato_comparativo.pdf.p7m</w:t>
      </w:r>
      <w:r w:rsidR="000C6948" w:rsidRPr="00D70BCF">
        <w:rPr>
          <w:rFonts w:ascii="Arial" w:hAnsi="Arial" w:cs="Arial"/>
        </w:rPr>
        <w:t xml:space="preserve"> (PG.93578 del 30/07/2021)</w:t>
      </w:r>
    </w:p>
    <w:p w:rsidR="007F0801" w:rsidRPr="00D70BCF" w:rsidRDefault="007F0801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>TAV_04bis_Planimetria_generale_scarichi.pdf.p7m</w:t>
      </w:r>
      <w:r w:rsidR="000C6948" w:rsidRPr="00D70BCF">
        <w:rPr>
          <w:rFonts w:ascii="Arial" w:hAnsi="Arial" w:cs="Arial"/>
        </w:rPr>
        <w:t xml:space="preserve"> (PG.93578 del 30/07/2021)</w:t>
      </w:r>
    </w:p>
    <w:p w:rsidR="007F0801" w:rsidRPr="00D70BCF" w:rsidRDefault="007F0801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>TAV_05bis_Prospetti_impianto.pdf.p7m</w:t>
      </w:r>
      <w:r w:rsidR="000C6948" w:rsidRPr="00D70BCF">
        <w:rPr>
          <w:rFonts w:ascii="Arial" w:hAnsi="Arial" w:cs="Arial"/>
        </w:rPr>
        <w:t xml:space="preserve"> (PG.93578 del 30/07/2021)</w:t>
      </w:r>
    </w:p>
    <w:p w:rsidR="007F0801" w:rsidRPr="00D70BCF" w:rsidRDefault="007F0801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lastRenderedPageBreak/>
        <w:t>TAV_06bis_Particolari_costruttivi.pdf.p7m</w:t>
      </w:r>
      <w:r w:rsidR="000C6948" w:rsidRPr="00D70BCF">
        <w:rPr>
          <w:rFonts w:ascii="Arial" w:hAnsi="Arial" w:cs="Arial"/>
        </w:rPr>
        <w:t xml:space="preserve"> (PG.93578 del 30/07/2021)</w:t>
      </w:r>
    </w:p>
    <w:p w:rsidR="007F0801" w:rsidRPr="00D70BCF" w:rsidRDefault="007F0801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D70BCF">
        <w:rPr>
          <w:rFonts w:ascii="Arial" w:hAnsi="Arial" w:cs="Arial"/>
        </w:rPr>
        <w:t>TAV_07bis_Elaborato_grafico_Legge 13.pdf.p7m</w:t>
      </w:r>
      <w:r w:rsidR="000C6948" w:rsidRPr="00D70BCF">
        <w:rPr>
          <w:rFonts w:ascii="Arial" w:hAnsi="Arial" w:cs="Arial"/>
        </w:rPr>
        <w:t xml:space="preserve"> (PG.93578 del 30/07/2021)</w:t>
      </w:r>
    </w:p>
    <w:p w:rsidR="005952CB" w:rsidRPr="00D70BCF" w:rsidRDefault="005952CB" w:rsidP="005952CB">
      <w:pPr>
        <w:jc w:val="both"/>
        <w:rPr>
          <w:szCs w:val="24"/>
          <w:highlight w:val="yellow"/>
        </w:rPr>
      </w:pPr>
    </w:p>
    <w:p w:rsidR="007E106F" w:rsidRPr="00D70BCF" w:rsidRDefault="007E106F" w:rsidP="00FE6720">
      <w:pPr>
        <w:rPr>
          <w:i/>
          <w:szCs w:val="24"/>
        </w:rPr>
      </w:pPr>
      <w:r w:rsidRPr="00D70BCF">
        <w:rPr>
          <w:szCs w:val="24"/>
        </w:rPr>
        <w:t>Visti</w:t>
      </w:r>
      <w:r w:rsidR="00BF4C17" w:rsidRPr="00D70BCF">
        <w:rPr>
          <w:i/>
          <w:szCs w:val="24"/>
        </w:rPr>
        <w:t>:</w:t>
      </w:r>
      <w:r w:rsidRPr="00D70BCF">
        <w:rPr>
          <w:i/>
          <w:szCs w:val="24"/>
        </w:rPr>
        <w:t xml:space="preserve"> </w:t>
      </w:r>
    </w:p>
    <w:p w:rsidR="007E106F" w:rsidRPr="00D70BCF" w:rsidRDefault="007E106F" w:rsidP="007E106F">
      <w:pPr>
        <w:autoSpaceDE w:val="0"/>
        <w:autoSpaceDN w:val="0"/>
        <w:adjustRightInd w:val="0"/>
        <w:rPr>
          <w:rFonts w:cs="Arial"/>
          <w:color w:val="000000"/>
          <w:szCs w:val="24"/>
        </w:rPr>
      </w:pPr>
      <w:r w:rsidRPr="00D70BCF">
        <w:rPr>
          <w:rFonts w:cs="Arial"/>
          <w:color w:val="000000"/>
          <w:szCs w:val="24"/>
        </w:rPr>
        <w:t xml:space="preserve">- l’art. 42 del </w:t>
      </w:r>
      <w:proofErr w:type="spellStart"/>
      <w:r w:rsidRPr="00D70BCF">
        <w:rPr>
          <w:rFonts w:cs="Arial"/>
          <w:color w:val="000000"/>
          <w:szCs w:val="24"/>
        </w:rPr>
        <w:t>D.Lgs.</w:t>
      </w:r>
      <w:proofErr w:type="spellEnd"/>
      <w:r w:rsidRPr="00D70BCF">
        <w:rPr>
          <w:rFonts w:cs="Arial"/>
          <w:color w:val="000000"/>
          <w:szCs w:val="24"/>
        </w:rPr>
        <w:t xml:space="preserve"> 18/08/2000 n. 267; </w:t>
      </w:r>
    </w:p>
    <w:p w:rsidR="007E106F" w:rsidRPr="00D70BCF" w:rsidRDefault="007E106F" w:rsidP="007E106F">
      <w:pPr>
        <w:autoSpaceDE w:val="0"/>
        <w:autoSpaceDN w:val="0"/>
        <w:adjustRightInd w:val="0"/>
        <w:rPr>
          <w:rFonts w:cs="Arial"/>
          <w:color w:val="000000"/>
          <w:szCs w:val="24"/>
        </w:rPr>
      </w:pPr>
      <w:r w:rsidRPr="00D70BCF">
        <w:rPr>
          <w:rFonts w:cs="Arial"/>
          <w:color w:val="000000"/>
          <w:szCs w:val="24"/>
        </w:rPr>
        <w:t xml:space="preserve">- gli artt. 4 e 53 comma 5 della </w:t>
      </w:r>
      <w:proofErr w:type="spellStart"/>
      <w:r w:rsidRPr="00D70BCF">
        <w:rPr>
          <w:rFonts w:cs="Arial"/>
          <w:color w:val="000000"/>
          <w:szCs w:val="24"/>
        </w:rPr>
        <w:t>L.R.</w:t>
      </w:r>
      <w:proofErr w:type="spellEnd"/>
      <w:r w:rsidRPr="00D70BCF">
        <w:rPr>
          <w:rFonts w:cs="Arial"/>
          <w:color w:val="000000"/>
          <w:szCs w:val="24"/>
        </w:rPr>
        <w:t xml:space="preserve"> n. 24/2017 </w:t>
      </w:r>
    </w:p>
    <w:p w:rsidR="007E106F" w:rsidRPr="00D70BCF" w:rsidRDefault="007E106F" w:rsidP="007E106F">
      <w:pPr>
        <w:autoSpaceDE w:val="0"/>
        <w:autoSpaceDN w:val="0"/>
        <w:adjustRightInd w:val="0"/>
        <w:jc w:val="both"/>
        <w:rPr>
          <w:rFonts w:cs="Arial"/>
          <w:szCs w:val="24"/>
          <w:highlight w:val="yellow"/>
        </w:rPr>
      </w:pPr>
    </w:p>
    <w:p w:rsidR="007E106F" w:rsidRPr="00D70BCF" w:rsidRDefault="007E106F" w:rsidP="007E106F">
      <w:pPr>
        <w:pStyle w:val="Default"/>
        <w:ind w:right="-54"/>
        <w:jc w:val="both"/>
        <w:rPr>
          <w:rFonts w:ascii="Arial" w:hAnsi="Arial" w:cs="Arial"/>
          <w:color w:val="auto"/>
        </w:rPr>
      </w:pPr>
      <w:r w:rsidRPr="00D70BCF">
        <w:rPr>
          <w:rFonts w:ascii="Arial" w:hAnsi="Arial" w:cs="Arial"/>
          <w:color w:val="auto"/>
        </w:rPr>
        <w:t xml:space="preserve">Visti gli atti; </w:t>
      </w:r>
    </w:p>
    <w:p w:rsidR="007E106F" w:rsidRPr="00D70BCF" w:rsidRDefault="007E106F" w:rsidP="00162AF2">
      <w:pPr>
        <w:tabs>
          <w:tab w:val="left" w:pos="9486"/>
        </w:tabs>
        <w:ind w:right="-54"/>
        <w:jc w:val="both"/>
        <w:rPr>
          <w:rFonts w:cs="Arial"/>
          <w:b/>
          <w:bCs/>
          <w:szCs w:val="24"/>
          <w:highlight w:val="yellow"/>
        </w:rPr>
      </w:pPr>
    </w:p>
    <w:p w:rsidR="007E106F" w:rsidRPr="00D70BCF" w:rsidRDefault="007E106F" w:rsidP="00162AF2">
      <w:pPr>
        <w:pStyle w:val="LO-normal"/>
        <w:jc w:val="both"/>
        <w:rPr>
          <w:rFonts w:ascii="Arial" w:eastAsia="Times New Roman" w:hAnsi="Arial"/>
          <w:color w:val="000000"/>
          <w:sz w:val="24"/>
          <w:szCs w:val="24"/>
        </w:rPr>
      </w:pPr>
      <w:r w:rsidRPr="00D70BCF">
        <w:rPr>
          <w:rFonts w:ascii="Arial" w:hAnsi="Arial"/>
          <w:b/>
          <w:bCs/>
          <w:sz w:val="24"/>
          <w:szCs w:val="24"/>
        </w:rPr>
        <w:t>VISTI</w:t>
      </w:r>
      <w:r w:rsidRPr="00D70BCF">
        <w:rPr>
          <w:rFonts w:ascii="Arial" w:hAnsi="Arial"/>
          <w:bCs/>
          <w:sz w:val="24"/>
          <w:szCs w:val="24"/>
        </w:rPr>
        <w:t xml:space="preserve"> i pareri favorevoli espressi dal Dirigente </w:t>
      </w:r>
      <w:r w:rsidR="00162AF2" w:rsidRPr="00D70BCF">
        <w:rPr>
          <w:rFonts w:ascii="Arial" w:eastAsia="Times New Roman" w:hAnsi="Arial"/>
          <w:color w:val="000000"/>
          <w:sz w:val="24"/>
          <w:szCs w:val="24"/>
        </w:rPr>
        <w:t xml:space="preserve">Servizio Qualità Edilizia SUE SUAP e Pianificazione Territoriale </w:t>
      </w:r>
      <w:r w:rsidRPr="00D70BCF">
        <w:rPr>
          <w:rFonts w:ascii="Arial" w:hAnsi="Arial"/>
          <w:bCs/>
          <w:sz w:val="24"/>
          <w:szCs w:val="24"/>
        </w:rPr>
        <w:t xml:space="preserve">proponente in ordine alla regolarità tecnica e dal Responsabile di Ragioneria in ordine alla regolarità contabile (art. 49 </w:t>
      </w:r>
      <w:proofErr w:type="spellStart"/>
      <w:r w:rsidRPr="00D70BCF">
        <w:rPr>
          <w:rFonts w:ascii="Arial" w:hAnsi="Arial"/>
          <w:bCs/>
          <w:sz w:val="24"/>
          <w:szCs w:val="24"/>
        </w:rPr>
        <w:t>D.Lgs</w:t>
      </w:r>
      <w:proofErr w:type="spellEnd"/>
      <w:r w:rsidRPr="00D70BCF">
        <w:rPr>
          <w:rFonts w:ascii="Arial" w:hAnsi="Arial"/>
          <w:bCs/>
          <w:sz w:val="24"/>
          <w:szCs w:val="24"/>
        </w:rPr>
        <w:t>.</w:t>
      </w:r>
      <w:r w:rsidR="00D70BCF">
        <w:rPr>
          <w:rFonts w:ascii="Arial" w:hAnsi="Arial"/>
          <w:bCs/>
          <w:sz w:val="24"/>
          <w:szCs w:val="24"/>
        </w:rPr>
        <w:t>.</w:t>
      </w:r>
      <w:r w:rsidRPr="00D70BCF">
        <w:rPr>
          <w:rFonts w:ascii="Arial" w:hAnsi="Arial"/>
          <w:bCs/>
          <w:sz w:val="24"/>
          <w:szCs w:val="24"/>
        </w:rPr>
        <w:t xml:space="preserve">267/2000 e </w:t>
      </w:r>
      <w:proofErr w:type="spellStart"/>
      <w:r w:rsidRPr="00D70BCF">
        <w:rPr>
          <w:rFonts w:ascii="Arial" w:hAnsi="Arial"/>
          <w:bCs/>
          <w:sz w:val="24"/>
          <w:szCs w:val="24"/>
        </w:rPr>
        <w:t>smi</w:t>
      </w:r>
      <w:proofErr w:type="spellEnd"/>
      <w:r w:rsidRPr="00D70BCF">
        <w:rPr>
          <w:rFonts w:ascii="Arial" w:hAnsi="Arial"/>
          <w:bCs/>
          <w:sz w:val="24"/>
          <w:szCs w:val="24"/>
        </w:rPr>
        <w:t xml:space="preserve">); </w:t>
      </w:r>
    </w:p>
    <w:p w:rsidR="007E106F" w:rsidRPr="00D70BCF" w:rsidRDefault="007E106F" w:rsidP="007E106F">
      <w:pPr>
        <w:pStyle w:val="Default"/>
        <w:rPr>
          <w:rFonts w:ascii="Arial" w:hAnsi="Arial" w:cs="Arial"/>
          <w:color w:val="auto"/>
        </w:rPr>
      </w:pPr>
    </w:p>
    <w:p w:rsidR="007E106F" w:rsidRPr="00D70BCF" w:rsidRDefault="007E106F" w:rsidP="007E106F">
      <w:pPr>
        <w:pStyle w:val="Default"/>
        <w:rPr>
          <w:rFonts w:ascii="Arial" w:hAnsi="Arial" w:cs="Arial"/>
          <w:color w:val="auto"/>
        </w:rPr>
      </w:pPr>
      <w:r w:rsidRPr="00D70BCF">
        <w:rPr>
          <w:rFonts w:ascii="Arial" w:hAnsi="Arial" w:cs="Arial"/>
          <w:color w:val="auto"/>
        </w:rPr>
        <w:t xml:space="preserve">Sentite la Giunta Comunale e la III Commissione Consiliare. </w:t>
      </w:r>
    </w:p>
    <w:p w:rsidR="005E6B99" w:rsidRPr="00D70BCF" w:rsidRDefault="005E6B99" w:rsidP="00314043">
      <w:pPr>
        <w:pStyle w:val="Paragrafoelenco"/>
      </w:pPr>
    </w:p>
    <w:p w:rsidR="007E106F" w:rsidRPr="00D70BCF" w:rsidRDefault="007E106F" w:rsidP="007E106F">
      <w:pPr>
        <w:ind w:left="1260" w:hanging="1260"/>
        <w:jc w:val="center"/>
        <w:rPr>
          <w:rFonts w:cs="Arial"/>
          <w:b/>
          <w:color w:val="000000"/>
          <w:szCs w:val="24"/>
        </w:rPr>
      </w:pPr>
      <w:r w:rsidRPr="00D70BCF">
        <w:rPr>
          <w:rFonts w:cs="Arial"/>
          <w:b/>
          <w:color w:val="000000"/>
          <w:szCs w:val="24"/>
        </w:rPr>
        <w:t>DELIBERA</w:t>
      </w:r>
    </w:p>
    <w:p w:rsidR="00A77BA0" w:rsidRPr="00D70BCF" w:rsidRDefault="00A77BA0" w:rsidP="007E106F">
      <w:pPr>
        <w:ind w:left="1260" w:hanging="1260"/>
        <w:jc w:val="center"/>
        <w:rPr>
          <w:rFonts w:cs="Arial"/>
          <w:b/>
          <w:color w:val="000000"/>
          <w:szCs w:val="24"/>
          <w:highlight w:val="yellow"/>
        </w:rPr>
      </w:pPr>
    </w:p>
    <w:p w:rsidR="00A77BA0" w:rsidRPr="00D70BCF" w:rsidRDefault="00A77BA0" w:rsidP="00A77BA0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D70BCF">
        <w:rPr>
          <w:rFonts w:cs="Arial"/>
          <w:color w:val="000000"/>
          <w:szCs w:val="24"/>
        </w:rPr>
        <w:t xml:space="preserve">di esprimere, per le motivazioni di cui </w:t>
      </w:r>
      <w:r w:rsidR="00FE6720" w:rsidRPr="00D70BCF">
        <w:rPr>
          <w:rFonts w:cs="Arial"/>
          <w:color w:val="000000"/>
          <w:szCs w:val="24"/>
        </w:rPr>
        <w:t>in premessa</w:t>
      </w:r>
      <w:r w:rsidR="007C1892" w:rsidRPr="00D70BCF">
        <w:rPr>
          <w:rFonts w:cs="Arial"/>
          <w:color w:val="000000"/>
          <w:szCs w:val="24"/>
        </w:rPr>
        <w:t>,</w:t>
      </w:r>
      <w:r w:rsidR="004501B7" w:rsidRPr="00D70BCF">
        <w:rPr>
          <w:szCs w:val="24"/>
        </w:rPr>
        <w:t xml:space="preserve"> </w:t>
      </w:r>
      <w:r w:rsidRPr="00D70BCF">
        <w:rPr>
          <w:rFonts w:cs="Arial"/>
          <w:color w:val="000000"/>
          <w:szCs w:val="24"/>
        </w:rPr>
        <w:t xml:space="preserve">l’assenso preliminare </w:t>
      </w:r>
      <w:r w:rsidR="0003503B" w:rsidRPr="00D70BCF">
        <w:rPr>
          <w:rFonts w:cs="Arial"/>
          <w:color w:val="000000"/>
          <w:szCs w:val="24"/>
        </w:rPr>
        <w:t>al</w:t>
      </w:r>
      <w:r w:rsidRPr="00D70BCF">
        <w:rPr>
          <w:rFonts w:cs="Arial"/>
          <w:color w:val="000000"/>
          <w:szCs w:val="24"/>
        </w:rPr>
        <w:t xml:space="preserve"> </w:t>
      </w:r>
      <w:r w:rsidR="0036619A" w:rsidRPr="00D70BCF">
        <w:rPr>
          <w:rFonts w:cs="Arial"/>
          <w:color w:val="000000"/>
          <w:szCs w:val="24"/>
        </w:rPr>
        <w:t>P</w:t>
      </w:r>
      <w:r w:rsidRPr="00D70BCF">
        <w:rPr>
          <w:rFonts w:cs="Arial"/>
          <w:color w:val="000000"/>
          <w:szCs w:val="24"/>
        </w:rPr>
        <w:t>rocedimento</w:t>
      </w:r>
      <w:r w:rsidR="00FC0494" w:rsidRPr="00D70BCF">
        <w:rPr>
          <w:rFonts w:cs="Arial"/>
          <w:color w:val="000000"/>
          <w:szCs w:val="24"/>
        </w:rPr>
        <w:t xml:space="preserve"> unico</w:t>
      </w:r>
      <w:r w:rsidRPr="00D70BCF">
        <w:rPr>
          <w:rFonts w:cs="Arial"/>
          <w:color w:val="000000"/>
          <w:szCs w:val="24"/>
        </w:rPr>
        <w:t xml:space="preserve"> ai sensi dell’art. 53 </w:t>
      </w:r>
      <w:r w:rsidR="009A15EB" w:rsidRPr="00D70BCF">
        <w:rPr>
          <w:rFonts w:cs="Arial"/>
          <w:color w:val="000000"/>
          <w:szCs w:val="24"/>
        </w:rPr>
        <w:t xml:space="preserve">comma 5 </w:t>
      </w:r>
      <w:r w:rsidRPr="00D70BCF">
        <w:rPr>
          <w:rFonts w:cs="Arial"/>
          <w:color w:val="000000"/>
          <w:szCs w:val="24"/>
        </w:rPr>
        <w:t xml:space="preserve">della </w:t>
      </w:r>
      <w:proofErr w:type="spellStart"/>
      <w:r w:rsidRPr="00D70BCF">
        <w:rPr>
          <w:rFonts w:cs="Arial"/>
          <w:color w:val="000000"/>
          <w:szCs w:val="24"/>
        </w:rPr>
        <w:t>L.R.</w:t>
      </w:r>
      <w:proofErr w:type="spellEnd"/>
      <w:r w:rsidRPr="00D70BCF">
        <w:rPr>
          <w:rFonts w:cs="Arial"/>
          <w:color w:val="000000"/>
          <w:szCs w:val="24"/>
        </w:rPr>
        <w:t xml:space="preserve"> n. 24/2017 </w:t>
      </w:r>
      <w:r w:rsidRPr="00D70BCF">
        <w:rPr>
          <w:rFonts w:cs="Arial"/>
          <w:szCs w:val="24"/>
        </w:rPr>
        <w:t>per l’approvazione</w:t>
      </w:r>
      <w:r w:rsidR="009A15EB" w:rsidRPr="00D70BCF">
        <w:rPr>
          <w:rFonts w:cs="Arial"/>
          <w:color w:val="FF0000"/>
          <w:szCs w:val="24"/>
        </w:rPr>
        <w:t xml:space="preserve"> </w:t>
      </w:r>
      <w:r w:rsidR="009A15EB" w:rsidRPr="00D70BCF">
        <w:rPr>
          <w:rFonts w:cs="Arial"/>
          <w:szCs w:val="24"/>
        </w:rPr>
        <w:t xml:space="preserve">del progetto di potenziamento </w:t>
      </w:r>
      <w:r w:rsidR="0036619A" w:rsidRPr="00D70BCF">
        <w:rPr>
          <w:rFonts w:cs="Arial"/>
          <w:szCs w:val="24"/>
        </w:rPr>
        <w:t xml:space="preserve">del </w:t>
      </w:r>
      <w:r w:rsidR="00DE20B6" w:rsidRPr="00D70BCF">
        <w:rPr>
          <w:rFonts w:cs="Arial"/>
          <w:szCs w:val="24"/>
        </w:rPr>
        <w:t xml:space="preserve">distributore carburanti </w:t>
      </w:r>
      <w:r w:rsidR="009A15EB" w:rsidRPr="00D70BCF">
        <w:rPr>
          <w:rFonts w:cs="Arial"/>
          <w:szCs w:val="24"/>
        </w:rPr>
        <w:t>esistente, sito in</w:t>
      </w:r>
      <w:r w:rsidR="009A15EB" w:rsidRPr="00D70BCF">
        <w:rPr>
          <w:rFonts w:cs="Arial"/>
          <w:caps/>
          <w:szCs w:val="24"/>
        </w:rPr>
        <w:t xml:space="preserve"> F</w:t>
      </w:r>
      <w:r w:rsidR="009A15EB" w:rsidRPr="00D70BCF">
        <w:rPr>
          <w:rFonts w:cs="Arial"/>
          <w:szCs w:val="24"/>
        </w:rPr>
        <w:t>errara</w:t>
      </w:r>
      <w:r w:rsidR="009A15EB" w:rsidRPr="00D70BCF">
        <w:rPr>
          <w:rFonts w:cs="Arial"/>
          <w:caps/>
          <w:szCs w:val="24"/>
        </w:rPr>
        <w:t>, v</w:t>
      </w:r>
      <w:r w:rsidR="009A15EB" w:rsidRPr="00D70BCF">
        <w:rPr>
          <w:rFonts w:cs="Arial"/>
          <w:szCs w:val="24"/>
        </w:rPr>
        <w:t>ia</w:t>
      </w:r>
      <w:r w:rsidR="009A15EB" w:rsidRPr="00D70BCF">
        <w:rPr>
          <w:rFonts w:cs="Arial"/>
          <w:caps/>
          <w:szCs w:val="24"/>
        </w:rPr>
        <w:t xml:space="preserve"> </w:t>
      </w:r>
      <w:r w:rsidR="00DE20B6" w:rsidRPr="00D70BCF">
        <w:rPr>
          <w:rFonts w:cs="Arial"/>
          <w:szCs w:val="24"/>
        </w:rPr>
        <w:t>Lanfranco Caretti</w:t>
      </w:r>
      <w:r w:rsidR="009A15EB" w:rsidRPr="00D70BCF">
        <w:rPr>
          <w:rFonts w:cs="Arial"/>
          <w:caps/>
          <w:szCs w:val="24"/>
        </w:rPr>
        <w:t xml:space="preserve">, </w:t>
      </w:r>
      <w:r w:rsidR="009A15EB" w:rsidRPr="00D70BCF">
        <w:rPr>
          <w:rFonts w:cs="Arial"/>
          <w:szCs w:val="24"/>
        </w:rPr>
        <w:t>in variante al</w:t>
      </w:r>
      <w:r w:rsidR="004501B7" w:rsidRPr="00D70BCF">
        <w:rPr>
          <w:rFonts w:cs="Arial"/>
          <w:szCs w:val="24"/>
        </w:rPr>
        <w:t xml:space="preserve"> II</w:t>
      </w:r>
      <w:r w:rsidR="009A15EB" w:rsidRPr="00D70BCF">
        <w:rPr>
          <w:rFonts w:cs="Arial"/>
          <w:szCs w:val="24"/>
        </w:rPr>
        <w:t xml:space="preserve"> </w:t>
      </w:r>
      <w:r w:rsidR="009A15EB" w:rsidRPr="00D70BCF">
        <w:rPr>
          <w:rFonts w:cs="Arial"/>
          <w:caps/>
          <w:szCs w:val="24"/>
        </w:rPr>
        <w:t>POC</w:t>
      </w:r>
      <w:r w:rsidR="00BB799F" w:rsidRPr="00D70BCF">
        <w:rPr>
          <w:rFonts w:cs="Arial"/>
          <w:caps/>
          <w:szCs w:val="24"/>
        </w:rPr>
        <w:t>,</w:t>
      </w:r>
      <w:r w:rsidR="009A15EB" w:rsidRPr="00D70BCF">
        <w:rPr>
          <w:rFonts w:cs="Arial"/>
          <w:caps/>
          <w:szCs w:val="24"/>
        </w:rPr>
        <w:t xml:space="preserve"> </w:t>
      </w:r>
      <w:r w:rsidR="00DE20B6" w:rsidRPr="00D70BCF">
        <w:rPr>
          <w:rFonts w:cs="Arial"/>
          <w:szCs w:val="24"/>
        </w:rPr>
        <w:t xml:space="preserve">presentato da </w:t>
      </w:r>
      <w:r w:rsidR="00DE20B6" w:rsidRPr="00D70BCF">
        <w:rPr>
          <w:rFonts w:cs="Arial"/>
          <w:bCs/>
          <w:color w:val="000000"/>
          <w:szCs w:val="24"/>
        </w:rPr>
        <w:t>Vega Carburanti S.p.A.</w:t>
      </w:r>
      <w:r w:rsidRPr="00D70BCF">
        <w:rPr>
          <w:rFonts w:cs="Arial"/>
          <w:szCs w:val="24"/>
        </w:rPr>
        <w:t>,</w:t>
      </w:r>
      <w:r w:rsidRPr="00D70BCF">
        <w:rPr>
          <w:rFonts w:cs="Arial"/>
          <w:color w:val="000000"/>
          <w:szCs w:val="24"/>
        </w:rPr>
        <w:t xml:space="preserve"> </w:t>
      </w:r>
      <w:r w:rsidR="00D06E7D" w:rsidRPr="00D70BCF">
        <w:rPr>
          <w:rFonts w:cs="Arial"/>
          <w:color w:val="000000"/>
          <w:szCs w:val="24"/>
        </w:rPr>
        <w:t>meglio rappresentato dagli elaborati di cui in premessa e integralmente richiamati, depositati agli atti della UO Pianificazione Attuativa del  Servizio Qualità Edilizia SUE SUAP e Pianificazione Territoriale</w:t>
      </w:r>
      <w:r w:rsidR="0036619A" w:rsidRPr="00D70BCF">
        <w:rPr>
          <w:rFonts w:cs="Arial"/>
          <w:color w:val="000000"/>
          <w:szCs w:val="24"/>
        </w:rPr>
        <w:t>;</w:t>
      </w:r>
    </w:p>
    <w:p w:rsidR="00840843" w:rsidRPr="00D70BCF" w:rsidRDefault="00840843" w:rsidP="00A77BA0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A77BA0" w:rsidRPr="00D70BCF" w:rsidRDefault="00A77BA0" w:rsidP="00A77BA0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 xml:space="preserve">di dare atto che, per l’attuazione del </w:t>
      </w:r>
      <w:r w:rsidR="00D06E7D" w:rsidRPr="00D70BCF">
        <w:rPr>
          <w:rFonts w:cs="Arial"/>
          <w:szCs w:val="24"/>
        </w:rPr>
        <w:t>P</w:t>
      </w:r>
      <w:r w:rsidRPr="00D70BCF">
        <w:rPr>
          <w:rFonts w:cs="Arial"/>
          <w:szCs w:val="24"/>
        </w:rPr>
        <w:t xml:space="preserve">rocedimento unico, verrà seguito l’iter di cui all’art. 53 della </w:t>
      </w:r>
      <w:proofErr w:type="spellStart"/>
      <w:r w:rsidRPr="00D70BCF">
        <w:rPr>
          <w:rFonts w:cs="Arial"/>
          <w:szCs w:val="24"/>
        </w:rPr>
        <w:t>L.R.</w:t>
      </w:r>
      <w:proofErr w:type="spellEnd"/>
      <w:r w:rsidRPr="00D70BCF">
        <w:rPr>
          <w:rFonts w:cs="Arial"/>
          <w:szCs w:val="24"/>
        </w:rPr>
        <w:t xml:space="preserve"> n. 24 del 21.12.2017;</w:t>
      </w:r>
    </w:p>
    <w:p w:rsidR="00A77BA0" w:rsidRPr="00D70BCF" w:rsidRDefault="00A77BA0" w:rsidP="00A77BA0">
      <w:pPr>
        <w:autoSpaceDE w:val="0"/>
        <w:autoSpaceDN w:val="0"/>
        <w:adjustRightInd w:val="0"/>
        <w:jc w:val="both"/>
        <w:rPr>
          <w:rFonts w:cs="Arial"/>
          <w:color w:val="000000"/>
          <w:szCs w:val="24"/>
        </w:rPr>
      </w:pPr>
    </w:p>
    <w:p w:rsidR="00A77BA0" w:rsidRPr="00D70BCF" w:rsidRDefault="00A77BA0" w:rsidP="00A77BA0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>di dare atto che il responsabile del procedimento è l’arch. Barbara Bonora U.O. Pianificazione Attuativa</w:t>
      </w:r>
      <w:r w:rsidR="00C25AE8" w:rsidRPr="00D70BCF">
        <w:rPr>
          <w:rFonts w:cs="Arial"/>
          <w:szCs w:val="24"/>
        </w:rPr>
        <w:t>;</w:t>
      </w:r>
    </w:p>
    <w:p w:rsidR="00C25AE8" w:rsidRPr="00D70BCF" w:rsidRDefault="00C25AE8" w:rsidP="00A77BA0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D06E7D" w:rsidRPr="00D70BCF" w:rsidRDefault="00D06E7D" w:rsidP="00D06E7D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D70BCF">
        <w:rPr>
          <w:rFonts w:cs="Arial"/>
          <w:szCs w:val="24"/>
        </w:rPr>
        <w:t xml:space="preserve">di dare mandato al Dirigente del Servizio Qualità Edilizia SUE SUAP e Pianificazione Territoriale ad esperire ogni atto successivo alla presente delibera, demandando inoltre allo stesso la conclusione della Conferenza </w:t>
      </w:r>
      <w:r w:rsidR="0053591D" w:rsidRPr="00D70BCF">
        <w:rPr>
          <w:rFonts w:cs="Arial"/>
          <w:szCs w:val="24"/>
        </w:rPr>
        <w:t xml:space="preserve">dei servizi </w:t>
      </w:r>
      <w:r w:rsidRPr="00D70BCF">
        <w:rPr>
          <w:rFonts w:cs="Arial"/>
          <w:szCs w:val="24"/>
        </w:rPr>
        <w:t xml:space="preserve">decisoria con atto proprio, in conformità alle norme di cui all’art. 53 della </w:t>
      </w:r>
      <w:proofErr w:type="spellStart"/>
      <w:r w:rsidRPr="00D70BCF">
        <w:rPr>
          <w:rFonts w:cs="Arial"/>
          <w:szCs w:val="24"/>
        </w:rPr>
        <w:t>L.R.</w:t>
      </w:r>
      <w:proofErr w:type="spellEnd"/>
      <w:r w:rsidRPr="00D70BCF">
        <w:rPr>
          <w:rFonts w:cs="Arial"/>
          <w:szCs w:val="24"/>
        </w:rPr>
        <w:t xml:space="preserve"> 24/2017 e </w:t>
      </w:r>
      <w:proofErr w:type="spellStart"/>
      <w:r w:rsidRPr="00D70BCF">
        <w:rPr>
          <w:rFonts w:cs="Arial"/>
          <w:szCs w:val="24"/>
        </w:rPr>
        <w:t>smi</w:t>
      </w:r>
      <w:proofErr w:type="spellEnd"/>
      <w:r w:rsidRPr="00D70BCF">
        <w:rPr>
          <w:rFonts w:cs="Arial"/>
          <w:szCs w:val="24"/>
        </w:rPr>
        <w:t>.</w:t>
      </w:r>
    </w:p>
    <w:p w:rsidR="0023245F" w:rsidRPr="00D70BCF" w:rsidRDefault="0023245F" w:rsidP="00A77BA0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BF4C17" w:rsidRPr="00BB799F" w:rsidRDefault="000B4D75" w:rsidP="00BF4C17">
      <w:pPr>
        <w:autoSpaceDE w:val="0"/>
        <w:autoSpaceDN w:val="0"/>
        <w:adjustRightInd w:val="0"/>
        <w:jc w:val="both"/>
        <w:rPr>
          <w:rFonts w:cs="Arial"/>
          <w:b/>
          <w:strike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</w:t>
      </w:r>
    </w:p>
    <w:sectPr w:rsidR="00BF4C17" w:rsidRPr="00BB799F" w:rsidSect="00D70BC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7B6" w:rsidRDefault="00DF37B6">
      <w:r>
        <w:separator/>
      </w:r>
    </w:p>
  </w:endnote>
  <w:endnote w:type="continuationSeparator" w:id="0">
    <w:p w:rsidR="00DF37B6" w:rsidRDefault="00DF3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ans">
    <w:altName w:val="Liberatio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C40" w:rsidRDefault="006A7B1D" w:rsidP="00D6250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01C4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301C40" w:rsidRDefault="00301C40" w:rsidP="004B0139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C40" w:rsidRDefault="006A7B1D" w:rsidP="00D6250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01C4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775F4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301C40" w:rsidRDefault="00301C40" w:rsidP="00D467E7">
    <w:pPr>
      <w:pStyle w:val="Pidipa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C40" w:rsidRPr="00477898" w:rsidRDefault="00301C40" w:rsidP="00162AF2">
    <w:pPr>
      <w:rPr>
        <w:rFonts w:cs="Arial"/>
        <w:sz w:val="16"/>
        <w:lang w:val="en-GB"/>
      </w:rPr>
    </w:pPr>
    <w:r>
      <w:rPr>
        <w:noProof/>
      </w:rPr>
      <w:drawing>
        <wp:inline distT="0" distB="0" distL="0" distR="0">
          <wp:extent cx="6116320" cy="69215"/>
          <wp:effectExtent l="19050" t="0" r="0" b="0"/>
          <wp:docPr id="2" name="Immagine 2" descr="basso1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basso1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9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7B6" w:rsidRDefault="00DF37B6">
      <w:r>
        <w:separator/>
      </w:r>
    </w:p>
  </w:footnote>
  <w:footnote w:type="continuationSeparator" w:id="0">
    <w:p w:rsidR="00DF37B6" w:rsidRDefault="00DF37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BCF" w:rsidRDefault="00D70BCF">
    <w:pPr>
      <w:pStyle w:val="Intestazione"/>
    </w:pPr>
    <w:r>
      <w:t>7934/2022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C40" w:rsidRDefault="00301C40" w:rsidP="006F0E20">
    <w:pPr>
      <w:tabs>
        <w:tab w:val="left" w:pos="3288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0CE4"/>
    <w:multiLevelType w:val="hybridMultilevel"/>
    <w:tmpl w:val="7C706D8C"/>
    <w:lvl w:ilvl="0" w:tplc="1B1EB31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D5ADE"/>
    <w:multiLevelType w:val="hybridMultilevel"/>
    <w:tmpl w:val="F5148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4597F"/>
    <w:multiLevelType w:val="hybridMultilevel"/>
    <w:tmpl w:val="5998A2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73DBF"/>
    <w:multiLevelType w:val="hybridMultilevel"/>
    <w:tmpl w:val="2B1C1AEC"/>
    <w:lvl w:ilvl="0" w:tplc="1B1EB31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C46C7"/>
    <w:multiLevelType w:val="hybridMultilevel"/>
    <w:tmpl w:val="253E4472"/>
    <w:lvl w:ilvl="0" w:tplc="1B1EB31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A301F2"/>
    <w:multiLevelType w:val="hybridMultilevel"/>
    <w:tmpl w:val="ACA24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C21B4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F441FE"/>
    <w:multiLevelType w:val="hybridMultilevel"/>
    <w:tmpl w:val="C75CA82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D374F7E"/>
    <w:multiLevelType w:val="hybridMultilevel"/>
    <w:tmpl w:val="C2BA0CD4"/>
    <w:lvl w:ilvl="0" w:tplc="1B1EB31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ED0E10"/>
    <w:multiLevelType w:val="hybridMultilevel"/>
    <w:tmpl w:val="589CB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CC009B"/>
    <w:multiLevelType w:val="hybridMultilevel"/>
    <w:tmpl w:val="252694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166EF1"/>
    <w:multiLevelType w:val="hybridMultilevel"/>
    <w:tmpl w:val="E4CE4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E51F0"/>
    <w:multiLevelType w:val="hybridMultilevel"/>
    <w:tmpl w:val="5CD02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6D23A8"/>
    <w:multiLevelType w:val="hybridMultilevel"/>
    <w:tmpl w:val="21D8D61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7ADCE0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2F76C1"/>
    <w:multiLevelType w:val="hybridMultilevel"/>
    <w:tmpl w:val="A566B166"/>
    <w:lvl w:ilvl="0" w:tplc="1B1EB31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FF2A23"/>
    <w:multiLevelType w:val="hybridMultilevel"/>
    <w:tmpl w:val="74A67B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DD230B"/>
    <w:multiLevelType w:val="hybridMultilevel"/>
    <w:tmpl w:val="3C40B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F540E3"/>
    <w:multiLevelType w:val="hybridMultilevel"/>
    <w:tmpl w:val="210AD6D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A327B1"/>
    <w:multiLevelType w:val="hybridMultilevel"/>
    <w:tmpl w:val="B8C854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1B3F0C"/>
    <w:multiLevelType w:val="hybridMultilevel"/>
    <w:tmpl w:val="CACC8354"/>
    <w:lvl w:ilvl="0" w:tplc="1B1EB31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156851"/>
    <w:multiLevelType w:val="hybridMultilevel"/>
    <w:tmpl w:val="69AC81FA"/>
    <w:lvl w:ilvl="0" w:tplc="1B1EB31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BE379D"/>
    <w:multiLevelType w:val="hybridMultilevel"/>
    <w:tmpl w:val="476C82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4C42DB"/>
    <w:multiLevelType w:val="hybridMultilevel"/>
    <w:tmpl w:val="FAF427FE"/>
    <w:lvl w:ilvl="0" w:tplc="1B1EB31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C019AF"/>
    <w:multiLevelType w:val="hybridMultilevel"/>
    <w:tmpl w:val="5F36118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C52D4B"/>
    <w:multiLevelType w:val="hybridMultilevel"/>
    <w:tmpl w:val="EA22A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8C091D"/>
    <w:multiLevelType w:val="hybridMultilevel"/>
    <w:tmpl w:val="C0D090F8"/>
    <w:lvl w:ilvl="0" w:tplc="841A42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2A6488"/>
    <w:multiLevelType w:val="singleLevel"/>
    <w:tmpl w:val="1B1EB310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24"/>
  </w:num>
  <w:num w:numId="2">
    <w:abstractNumId w:val="16"/>
  </w:num>
  <w:num w:numId="3">
    <w:abstractNumId w:val="12"/>
  </w:num>
  <w:num w:numId="4">
    <w:abstractNumId w:val="11"/>
  </w:num>
  <w:num w:numId="5">
    <w:abstractNumId w:val="23"/>
  </w:num>
  <w:num w:numId="6">
    <w:abstractNumId w:val="9"/>
  </w:num>
  <w:num w:numId="7">
    <w:abstractNumId w:val="10"/>
  </w:num>
  <w:num w:numId="8">
    <w:abstractNumId w:val="22"/>
  </w:num>
  <w:num w:numId="9">
    <w:abstractNumId w:val="5"/>
  </w:num>
  <w:num w:numId="10">
    <w:abstractNumId w:val="1"/>
  </w:num>
  <w:num w:numId="11">
    <w:abstractNumId w:val="25"/>
  </w:num>
  <w:num w:numId="12">
    <w:abstractNumId w:val="17"/>
  </w:num>
  <w:num w:numId="13">
    <w:abstractNumId w:val="15"/>
  </w:num>
  <w:num w:numId="14">
    <w:abstractNumId w:val="14"/>
  </w:num>
  <w:num w:numId="15">
    <w:abstractNumId w:val="7"/>
  </w:num>
  <w:num w:numId="16">
    <w:abstractNumId w:val="6"/>
  </w:num>
  <w:num w:numId="17">
    <w:abstractNumId w:val="13"/>
  </w:num>
  <w:num w:numId="18">
    <w:abstractNumId w:val="21"/>
  </w:num>
  <w:num w:numId="19">
    <w:abstractNumId w:val="4"/>
  </w:num>
  <w:num w:numId="20">
    <w:abstractNumId w:val="19"/>
  </w:num>
  <w:num w:numId="21">
    <w:abstractNumId w:val="18"/>
  </w:num>
  <w:num w:numId="22">
    <w:abstractNumId w:val="0"/>
  </w:num>
  <w:num w:numId="23">
    <w:abstractNumId w:val="3"/>
  </w:num>
  <w:num w:numId="24">
    <w:abstractNumId w:val="8"/>
  </w:num>
  <w:num w:numId="25">
    <w:abstractNumId w:val="2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41314"/>
  </w:hdrShapeDefaults>
  <w:footnotePr>
    <w:footnote w:id="-1"/>
    <w:footnote w:id="0"/>
  </w:footnotePr>
  <w:endnotePr>
    <w:endnote w:id="-1"/>
    <w:endnote w:id="0"/>
  </w:endnotePr>
  <w:compat/>
  <w:rsids>
    <w:rsidRoot w:val="000A1961"/>
    <w:rsid w:val="0000124C"/>
    <w:rsid w:val="00003E36"/>
    <w:rsid w:val="000128DE"/>
    <w:rsid w:val="00020F8C"/>
    <w:rsid w:val="00022B40"/>
    <w:rsid w:val="0002523E"/>
    <w:rsid w:val="00026BC4"/>
    <w:rsid w:val="00030D27"/>
    <w:rsid w:val="0003317D"/>
    <w:rsid w:val="00034003"/>
    <w:rsid w:val="0003503B"/>
    <w:rsid w:val="00042B58"/>
    <w:rsid w:val="00046D82"/>
    <w:rsid w:val="00046F85"/>
    <w:rsid w:val="00055F5D"/>
    <w:rsid w:val="0005702E"/>
    <w:rsid w:val="00072D6B"/>
    <w:rsid w:val="00082C13"/>
    <w:rsid w:val="000948B9"/>
    <w:rsid w:val="00094946"/>
    <w:rsid w:val="000949BD"/>
    <w:rsid w:val="00095FAE"/>
    <w:rsid w:val="0009614F"/>
    <w:rsid w:val="00097D99"/>
    <w:rsid w:val="000A1294"/>
    <w:rsid w:val="000A1961"/>
    <w:rsid w:val="000A40BD"/>
    <w:rsid w:val="000A61C2"/>
    <w:rsid w:val="000A69C8"/>
    <w:rsid w:val="000B2937"/>
    <w:rsid w:val="000B45A2"/>
    <w:rsid w:val="000B4D75"/>
    <w:rsid w:val="000C202A"/>
    <w:rsid w:val="000C6948"/>
    <w:rsid w:val="000C6991"/>
    <w:rsid w:val="000C7A92"/>
    <w:rsid w:val="000D08B3"/>
    <w:rsid w:val="000D2F08"/>
    <w:rsid w:val="000D62D2"/>
    <w:rsid w:val="000E38FB"/>
    <w:rsid w:val="000F1998"/>
    <w:rsid w:val="000F650F"/>
    <w:rsid w:val="0010000C"/>
    <w:rsid w:val="00101816"/>
    <w:rsid w:val="001027F9"/>
    <w:rsid w:val="001062D9"/>
    <w:rsid w:val="00107B78"/>
    <w:rsid w:val="001120F2"/>
    <w:rsid w:val="001151E9"/>
    <w:rsid w:val="00124037"/>
    <w:rsid w:val="00126663"/>
    <w:rsid w:val="00127361"/>
    <w:rsid w:val="00130A25"/>
    <w:rsid w:val="00130B14"/>
    <w:rsid w:val="00130BF1"/>
    <w:rsid w:val="001311C5"/>
    <w:rsid w:val="0013430A"/>
    <w:rsid w:val="0013708E"/>
    <w:rsid w:val="00141D78"/>
    <w:rsid w:val="00144619"/>
    <w:rsid w:val="001509F8"/>
    <w:rsid w:val="00150CA2"/>
    <w:rsid w:val="00156EDA"/>
    <w:rsid w:val="00162222"/>
    <w:rsid w:val="00162AF2"/>
    <w:rsid w:val="00167715"/>
    <w:rsid w:val="0017219C"/>
    <w:rsid w:val="0017410F"/>
    <w:rsid w:val="001753E8"/>
    <w:rsid w:val="001755D3"/>
    <w:rsid w:val="00180054"/>
    <w:rsid w:val="00181D01"/>
    <w:rsid w:val="0019156B"/>
    <w:rsid w:val="001A27A0"/>
    <w:rsid w:val="001A60CA"/>
    <w:rsid w:val="001A7069"/>
    <w:rsid w:val="001B2B82"/>
    <w:rsid w:val="001B4930"/>
    <w:rsid w:val="001C713A"/>
    <w:rsid w:val="001D1C2F"/>
    <w:rsid w:val="001D2627"/>
    <w:rsid w:val="001D2FF9"/>
    <w:rsid w:val="001D5864"/>
    <w:rsid w:val="001D71FC"/>
    <w:rsid w:val="001E592B"/>
    <w:rsid w:val="001E5FE4"/>
    <w:rsid w:val="001F3CE2"/>
    <w:rsid w:val="00201170"/>
    <w:rsid w:val="0020272C"/>
    <w:rsid w:val="00206CD2"/>
    <w:rsid w:val="0020701A"/>
    <w:rsid w:val="00207AC8"/>
    <w:rsid w:val="00210666"/>
    <w:rsid w:val="002110CC"/>
    <w:rsid w:val="00212F5C"/>
    <w:rsid w:val="002168BD"/>
    <w:rsid w:val="00222495"/>
    <w:rsid w:val="00223B34"/>
    <w:rsid w:val="0022419D"/>
    <w:rsid w:val="0022555E"/>
    <w:rsid w:val="0023245F"/>
    <w:rsid w:val="002330E0"/>
    <w:rsid w:val="00233369"/>
    <w:rsid w:val="00236F3C"/>
    <w:rsid w:val="002441ED"/>
    <w:rsid w:val="002457FF"/>
    <w:rsid w:val="00247B34"/>
    <w:rsid w:val="00255972"/>
    <w:rsid w:val="00257E24"/>
    <w:rsid w:val="0026394B"/>
    <w:rsid w:val="002650A8"/>
    <w:rsid w:val="00271A0F"/>
    <w:rsid w:val="00273EF0"/>
    <w:rsid w:val="00277637"/>
    <w:rsid w:val="00282A8B"/>
    <w:rsid w:val="00282BD6"/>
    <w:rsid w:val="00282D40"/>
    <w:rsid w:val="002856F5"/>
    <w:rsid w:val="00290467"/>
    <w:rsid w:val="00291B8C"/>
    <w:rsid w:val="00293C67"/>
    <w:rsid w:val="00297C8B"/>
    <w:rsid w:val="002A75E3"/>
    <w:rsid w:val="002B0391"/>
    <w:rsid w:val="002B54B1"/>
    <w:rsid w:val="002C2BAE"/>
    <w:rsid w:val="002D2790"/>
    <w:rsid w:val="002E0B1D"/>
    <w:rsid w:val="002E1121"/>
    <w:rsid w:val="002E3340"/>
    <w:rsid w:val="002E5522"/>
    <w:rsid w:val="002E5FAC"/>
    <w:rsid w:val="002F1644"/>
    <w:rsid w:val="002F2E3D"/>
    <w:rsid w:val="002F35C0"/>
    <w:rsid w:val="003008EB"/>
    <w:rsid w:val="003014ED"/>
    <w:rsid w:val="00301C40"/>
    <w:rsid w:val="00312EF7"/>
    <w:rsid w:val="00313A6E"/>
    <w:rsid w:val="00314043"/>
    <w:rsid w:val="00314286"/>
    <w:rsid w:val="00321AA3"/>
    <w:rsid w:val="0032568E"/>
    <w:rsid w:val="003501DE"/>
    <w:rsid w:val="00351224"/>
    <w:rsid w:val="00352B61"/>
    <w:rsid w:val="00352DE8"/>
    <w:rsid w:val="00353623"/>
    <w:rsid w:val="003545A6"/>
    <w:rsid w:val="003558F7"/>
    <w:rsid w:val="003630C2"/>
    <w:rsid w:val="00363416"/>
    <w:rsid w:val="0036612F"/>
    <w:rsid w:val="0036619A"/>
    <w:rsid w:val="003717DF"/>
    <w:rsid w:val="003745EB"/>
    <w:rsid w:val="003824E1"/>
    <w:rsid w:val="0038288F"/>
    <w:rsid w:val="0038334F"/>
    <w:rsid w:val="00393783"/>
    <w:rsid w:val="00393FB4"/>
    <w:rsid w:val="00397D9E"/>
    <w:rsid w:val="003A4DD9"/>
    <w:rsid w:val="003B0096"/>
    <w:rsid w:val="003B046B"/>
    <w:rsid w:val="003B4D8C"/>
    <w:rsid w:val="003C105B"/>
    <w:rsid w:val="003C1E99"/>
    <w:rsid w:val="003C1FBB"/>
    <w:rsid w:val="003C3772"/>
    <w:rsid w:val="003D00FD"/>
    <w:rsid w:val="003D20BE"/>
    <w:rsid w:val="003D68AE"/>
    <w:rsid w:val="003E2AB7"/>
    <w:rsid w:val="003E3103"/>
    <w:rsid w:val="003E7B56"/>
    <w:rsid w:val="003F5D75"/>
    <w:rsid w:val="0040302A"/>
    <w:rsid w:val="00407685"/>
    <w:rsid w:val="00412E32"/>
    <w:rsid w:val="00413E31"/>
    <w:rsid w:val="004152FA"/>
    <w:rsid w:val="00422BF4"/>
    <w:rsid w:val="00423C64"/>
    <w:rsid w:val="00424095"/>
    <w:rsid w:val="0043576A"/>
    <w:rsid w:val="00437EEB"/>
    <w:rsid w:val="004405A5"/>
    <w:rsid w:val="004501B7"/>
    <w:rsid w:val="00451070"/>
    <w:rsid w:val="00456586"/>
    <w:rsid w:val="00457AAF"/>
    <w:rsid w:val="0047174B"/>
    <w:rsid w:val="00477898"/>
    <w:rsid w:val="00477A07"/>
    <w:rsid w:val="0048103B"/>
    <w:rsid w:val="00482EBD"/>
    <w:rsid w:val="0049270C"/>
    <w:rsid w:val="00494FF9"/>
    <w:rsid w:val="0049575A"/>
    <w:rsid w:val="0049659D"/>
    <w:rsid w:val="004A1F8E"/>
    <w:rsid w:val="004B0139"/>
    <w:rsid w:val="004B0D58"/>
    <w:rsid w:val="004B7178"/>
    <w:rsid w:val="004C2517"/>
    <w:rsid w:val="004D3688"/>
    <w:rsid w:val="004D3A25"/>
    <w:rsid w:val="004D4792"/>
    <w:rsid w:val="004D7659"/>
    <w:rsid w:val="004E042F"/>
    <w:rsid w:val="004E2613"/>
    <w:rsid w:val="004E3E6B"/>
    <w:rsid w:val="004F3931"/>
    <w:rsid w:val="004F4F89"/>
    <w:rsid w:val="004F7BE9"/>
    <w:rsid w:val="004F7D85"/>
    <w:rsid w:val="005074E0"/>
    <w:rsid w:val="00512619"/>
    <w:rsid w:val="00512630"/>
    <w:rsid w:val="00512870"/>
    <w:rsid w:val="00513937"/>
    <w:rsid w:val="00520742"/>
    <w:rsid w:val="005219E2"/>
    <w:rsid w:val="00525507"/>
    <w:rsid w:val="0053591D"/>
    <w:rsid w:val="005408C0"/>
    <w:rsid w:val="00546F16"/>
    <w:rsid w:val="00555152"/>
    <w:rsid w:val="00556713"/>
    <w:rsid w:val="00561D87"/>
    <w:rsid w:val="00562442"/>
    <w:rsid w:val="0057098D"/>
    <w:rsid w:val="00570A3E"/>
    <w:rsid w:val="00570B0F"/>
    <w:rsid w:val="00571AA3"/>
    <w:rsid w:val="00593000"/>
    <w:rsid w:val="005952CB"/>
    <w:rsid w:val="005A0E33"/>
    <w:rsid w:val="005A2117"/>
    <w:rsid w:val="005A4F03"/>
    <w:rsid w:val="005A6820"/>
    <w:rsid w:val="005A69D3"/>
    <w:rsid w:val="005B02B0"/>
    <w:rsid w:val="005B0DB7"/>
    <w:rsid w:val="005B11FC"/>
    <w:rsid w:val="005B4350"/>
    <w:rsid w:val="005C5B3D"/>
    <w:rsid w:val="005C5F9E"/>
    <w:rsid w:val="005C6E05"/>
    <w:rsid w:val="005D2927"/>
    <w:rsid w:val="005D6EE5"/>
    <w:rsid w:val="005E6B99"/>
    <w:rsid w:val="005E7779"/>
    <w:rsid w:val="005E7925"/>
    <w:rsid w:val="005E7B57"/>
    <w:rsid w:val="005F5760"/>
    <w:rsid w:val="006006C2"/>
    <w:rsid w:val="00601B9D"/>
    <w:rsid w:val="00622C22"/>
    <w:rsid w:val="0063176E"/>
    <w:rsid w:val="00633688"/>
    <w:rsid w:val="00634309"/>
    <w:rsid w:val="00641EC4"/>
    <w:rsid w:val="00642027"/>
    <w:rsid w:val="006420EE"/>
    <w:rsid w:val="00644F55"/>
    <w:rsid w:val="006458D4"/>
    <w:rsid w:val="00646456"/>
    <w:rsid w:val="00646B1D"/>
    <w:rsid w:val="006573FD"/>
    <w:rsid w:val="0066009F"/>
    <w:rsid w:val="006661F0"/>
    <w:rsid w:val="0066690C"/>
    <w:rsid w:val="00667FBC"/>
    <w:rsid w:val="00672F7D"/>
    <w:rsid w:val="00675321"/>
    <w:rsid w:val="00692C3F"/>
    <w:rsid w:val="0069410F"/>
    <w:rsid w:val="006A3F6B"/>
    <w:rsid w:val="006A6D88"/>
    <w:rsid w:val="006A7B1D"/>
    <w:rsid w:val="006B28D2"/>
    <w:rsid w:val="006B3257"/>
    <w:rsid w:val="006B74BB"/>
    <w:rsid w:val="006C1D74"/>
    <w:rsid w:val="006D15FE"/>
    <w:rsid w:val="006D3C51"/>
    <w:rsid w:val="006D3D9D"/>
    <w:rsid w:val="006E46FC"/>
    <w:rsid w:val="006F0E20"/>
    <w:rsid w:val="006F1C49"/>
    <w:rsid w:val="006F49BA"/>
    <w:rsid w:val="006F5AA1"/>
    <w:rsid w:val="0070019C"/>
    <w:rsid w:val="007034D2"/>
    <w:rsid w:val="00710F04"/>
    <w:rsid w:val="00711AD0"/>
    <w:rsid w:val="00711C89"/>
    <w:rsid w:val="00715726"/>
    <w:rsid w:val="007315D4"/>
    <w:rsid w:val="0073320E"/>
    <w:rsid w:val="00741B2F"/>
    <w:rsid w:val="00751720"/>
    <w:rsid w:val="00751CB0"/>
    <w:rsid w:val="00754003"/>
    <w:rsid w:val="0075714B"/>
    <w:rsid w:val="0075784C"/>
    <w:rsid w:val="00760271"/>
    <w:rsid w:val="00770440"/>
    <w:rsid w:val="007704EA"/>
    <w:rsid w:val="00772CCF"/>
    <w:rsid w:val="00774902"/>
    <w:rsid w:val="00774F99"/>
    <w:rsid w:val="00775B87"/>
    <w:rsid w:val="007820E4"/>
    <w:rsid w:val="0078234F"/>
    <w:rsid w:val="00783C25"/>
    <w:rsid w:val="00784470"/>
    <w:rsid w:val="00784B63"/>
    <w:rsid w:val="00784E27"/>
    <w:rsid w:val="00792A44"/>
    <w:rsid w:val="007A2D87"/>
    <w:rsid w:val="007B238D"/>
    <w:rsid w:val="007B51C8"/>
    <w:rsid w:val="007C1892"/>
    <w:rsid w:val="007C2EC8"/>
    <w:rsid w:val="007C4619"/>
    <w:rsid w:val="007D142A"/>
    <w:rsid w:val="007D5A3B"/>
    <w:rsid w:val="007E0390"/>
    <w:rsid w:val="007E106F"/>
    <w:rsid w:val="007F0801"/>
    <w:rsid w:val="007F23BA"/>
    <w:rsid w:val="008038D8"/>
    <w:rsid w:val="00803E70"/>
    <w:rsid w:val="00811F3D"/>
    <w:rsid w:val="00815712"/>
    <w:rsid w:val="0081739A"/>
    <w:rsid w:val="00821CB0"/>
    <w:rsid w:val="00825309"/>
    <w:rsid w:val="00831917"/>
    <w:rsid w:val="008370DA"/>
    <w:rsid w:val="00840843"/>
    <w:rsid w:val="00842E04"/>
    <w:rsid w:val="00845ACF"/>
    <w:rsid w:val="00853672"/>
    <w:rsid w:val="008548B5"/>
    <w:rsid w:val="00863AEB"/>
    <w:rsid w:val="0086449F"/>
    <w:rsid w:val="008709C9"/>
    <w:rsid w:val="008725A9"/>
    <w:rsid w:val="008747A2"/>
    <w:rsid w:val="00890300"/>
    <w:rsid w:val="008905D6"/>
    <w:rsid w:val="008957DC"/>
    <w:rsid w:val="008A35AF"/>
    <w:rsid w:val="008A64E5"/>
    <w:rsid w:val="008A74D4"/>
    <w:rsid w:val="008B1BDD"/>
    <w:rsid w:val="008B2FBC"/>
    <w:rsid w:val="008C18AA"/>
    <w:rsid w:val="008C2E95"/>
    <w:rsid w:val="008C4624"/>
    <w:rsid w:val="008C5582"/>
    <w:rsid w:val="008C773E"/>
    <w:rsid w:val="008D4C3E"/>
    <w:rsid w:val="008D5B4A"/>
    <w:rsid w:val="008D7691"/>
    <w:rsid w:val="008E23A3"/>
    <w:rsid w:val="008E3C98"/>
    <w:rsid w:val="008E43E5"/>
    <w:rsid w:val="008F0D0F"/>
    <w:rsid w:val="008F3DC0"/>
    <w:rsid w:val="008F5065"/>
    <w:rsid w:val="008F5381"/>
    <w:rsid w:val="00906BE8"/>
    <w:rsid w:val="00907CA2"/>
    <w:rsid w:val="00911484"/>
    <w:rsid w:val="009226F0"/>
    <w:rsid w:val="00930776"/>
    <w:rsid w:val="00932DA7"/>
    <w:rsid w:val="00934946"/>
    <w:rsid w:val="0094008E"/>
    <w:rsid w:val="00942A01"/>
    <w:rsid w:val="0097114E"/>
    <w:rsid w:val="009713D9"/>
    <w:rsid w:val="0097628D"/>
    <w:rsid w:val="00976579"/>
    <w:rsid w:val="00981D2D"/>
    <w:rsid w:val="00981D8B"/>
    <w:rsid w:val="009826FD"/>
    <w:rsid w:val="009878D1"/>
    <w:rsid w:val="00996A3C"/>
    <w:rsid w:val="00997107"/>
    <w:rsid w:val="009A15EB"/>
    <w:rsid w:val="009A3EF9"/>
    <w:rsid w:val="009A4A1F"/>
    <w:rsid w:val="009A4BAB"/>
    <w:rsid w:val="009A5C0B"/>
    <w:rsid w:val="009B0414"/>
    <w:rsid w:val="009B410A"/>
    <w:rsid w:val="009B5B8D"/>
    <w:rsid w:val="009B7F73"/>
    <w:rsid w:val="009C7D17"/>
    <w:rsid w:val="009D023B"/>
    <w:rsid w:val="009D05FD"/>
    <w:rsid w:val="009D23E2"/>
    <w:rsid w:val="009D24DE"/>
    <w:rsid w:val="009F1228"/>
    <w:rsid w:val="009F2F75"/>
    <w:rsid w:val="00A002A6"/>
    <w:rsid w:val="00A01FB0"/>
    <w:rsid w:val="00A05F57"/>
    <w:rsid w:val="00A106AF"/>
    <w:rsid w:val="00A12776"/>
    <w:rsid w:val="00A13174"/>
    <w:rsid w:val="00A143F2"/>
    <w:rsid w:val="00A178F7"/>
    <w:rsid w:val="00A261F3"/>
    <w:rsid w:val="00A30BF2"/>
    <w:rsid w:val="00A33611"/>
    <w:rsid w:val="00A35712"/>
    <w:rsid w:val="00A35C64"/>
    <w:rsid w:val="00A438C6"/>
    <w:rsid w:val="00A6143B"/>
    <w:rsid w:val="00A6394F"/>
    <w:rsid w:val="00A723FA"/>
    <w:rsid w:val="00A72FAE"/>
    <w:rsid w:val="00A775F4"/>
    <w:rsid w:val="00A77BA0"/>
    <w:rsid w:val="00A81EF6"/>
    <w:rsid w:val="00A84849"/>
    <w:rsid w:val="00A85684"/>
    <w:rsid w:val="00A874C3"/>
    <w:rsid w:val="00A917B1"/>
    <w:rsid w:val="00A928E8"/>
    <w:rsid w:val="00A95657"/>
    <w:rsid w:val="00A97566"/>
    <w:rsid w:val="00AA552B"/>
    <w:rsid w:val="00AB005F"/>
    <w:rsid w:val="00AB0A03"/>
    <w:rsid w:val="00AB22B7"/>
    <w:rsid w:val="00AB68BF"/>
    <w:rsid w:val="00AD14D8"/>
    <w:rsid w:val="00AD381D"/>
    <w:rsid w:val="00AD79EA"/>
    <w:rsid w:val="00AE51FC"/>
    <w:rsid w:val="00AE65A6"/>
    <w:rsid w:val="00AE7999"/>
    <w:rsid w:val="00AE7F64"/>
    <w:rsid w:val="00AF4BC1"/>
    <w:rsid w:val="00B02A84"/>
    <w:rsid w:val="00B1172E"/>
    <w:rsid w:val="00B1400C"/>
    <w:rsid w:val="00B20C1F"/>
    <w:rsid w:val="00B26236"/>
    <w:rsid w:val="00B26786"/>
    <w:rsid w:val="00B3343E"/>
    <w:rsid w:val="00B35336"/>
    <w:rsid w:val="00B3644C"/>
    <w:rsid w:val="00B41369"/>
    <w:rsid w:val="00B45AB7"/>
    <w:rsid w:val="00B4683C"/>
    <w:rsid w:val="00B4761B"/>
    <w:rsid w:val="00B60BE9"/>
    <w:rsid w:val="00B63D59"/>
    <w:rsid w:val="00B656DA"/>
    <w:rsid w:val="00B6679F"/>
    <w:rsid w:val="00B70A51"/>
    <w:rsid w:val="00B865DA"/>
    <w:rsid w:val="00B865F4"/>
    <w:rsid w:val="00B91E6A"/>
    <w:rsid w:val="00B94583"/>
    <w:rsid w:val="00B97FA6"/>
    <w:rsid w:val="00BB07F0"/>
    <w:rsid w:val="00BB1D59"/>
    <w:rsid w:val="00BB3089"/>
    <w:rsid w:val="00BB799F"/>
    <w:rsid w:val="00BC35D3"/>
    <w:rsid w:val="00BC4102"/>
    <w:rsid w:val="00BD005C"/>
    <w:rsid w:val="00BD063B"/>
    <w:rsid w:val="00BD0834"/>
    <w:rsid w:val="00BD50E4"/>
    <w:rsid w:val="00BD7112"/>
    <w:rsid w:val="00BE02C1"/>
    <w:rsid w:val="00BE1B18"/>
    <w:rsid w:val="00BE7508"/>
    <w:rsid w:val="00BF4C17"/>
    <w:rsid w:val="00BF6A37"/>
    <w:rsid w:val="00C01069"/>
    <w:rsid w:val="00C02EDB"/>
    <w:rsid w:val="00C067D4"/>
    <w:rsid w:val="00C06809"/>
    <w:rsid w:val="00C10789"/>
    <w:rsid w:val="00C13D28"/>
    <w:rsid w:val="00C155D0"/>
    <w:rsid w:val="00C17107"/>
    <w:rsid w:val="00C1741B"/>
    <w:rsid w:val="00C178D7"/>
    <w:rsid w:val="00C2220C"/>
    <w:rsid w:val="00C2393D"/>
    <w:rsid w:val="00C25AE8"/>
    <w:rsid w:val="00C4003F"/>
    <w:rsid w:val="00C4115C"/>
    <w:rsid w:val="00C61020"/>
    <w:rsid w:val="00C61CBA"/>
    <w:rsid w:val="00C61CE9"/>
    <w:rsid w:val="00C7073A"/>
    <w:rsid w:val="00C74727"/>
    <w:rsid w:val="00CA4D42"/>
    <w:rsid w:val="00CA725B"/>
    <w:rsid w:val="00CB792E"/>
    <w:rsid w:val="00CB7F05"/>
    <w:rsid w:val="00CC078F"/>
    <w:rsid w:val="00CC1635"/>
    <w:rsid w:val="00CC2CC6"/>
    <w:rsid w:val="00CC42E9"/>
    <w:rsid w:val="00CD1995"/>
    <w:rsid w:val="00CD4D80"/>
    <w:rsid w:val="00CD60E3"/>
    <w:rsid w:val="00CD62B0"/>
    <w:rsid w:val="00CD66AB"/>
    <w:rsid w:val="00CD6CE1"/>
    <w:rsid w:val="00CD7C99"/>
    <w:rsid w:val="00CE0E2D"/>
    <w:rsid w:val="00CE3793"/>
    <w:rsid w:val="00CE5103"/>
    <w:rsid w:val="00CE5390"/>
    <w:rsid w:val="00CE5F9C"/>
    <w:rsid w:val="00CE62D7"/>
    <w:rsid w:val="00CE6D75"/>
    <w:rsid w:val="00CE779A"/>
    <w:rsid w:val="00CF4C98"/>
    <w:rsid w:val="00CF5E14"/>
    <w:rsid w:val="00CF7751"/>
    <w:rsid w:val="00D01789"/>
    <w:rsid w:val="00D01F86"/>
    <w:rsid w:val="00D069ED"/>
    <w:rsid w:val="00D06E7D"/>
    <w:rsid w:val="00D071D1"/>
    <w:rsid w:val="00D07278"/>
    <w:rsid w:val="00D07CAC"/>
    <w:rsid w:val="00D12E80"/>
    <w:rsid w:val="00D156C6"/>
    <w:rsid w:val="00D164DB"/>
    <w:rsid w:val="00D21100"/>
    <w:rsid w:val="00D234B5"/>
    <w:rsid w:val="00D26555"/>
    <w:rsid w:val="00D31FC3"/>
    <w:rsid w:val="00D4051B"/>
    <w:rsid w:val="00D467E7"/>
    <w:rsid w:val="00D50088"/>
    <w:rsid w:val="00D54AD2"/>
    <w:rsid w:val="00D57CA6"/>
    <w:rsid w:val="00D57CCF"/>
    <w:rsid w:val="00D60A68"/>
    <w:rsid w:val="00D6196E"/>
    <w:rsid w:val="00D62501"/>
    <w:rsid w:val="00D66F32"/>
    <w:rsid w:val="00D70BCF"/>
    <w:rsid w:val="00D70E81"/>
    <w:rsid w:val="00D738EB"/>
    <w:rsid w:val="00D7754F"/>
    <w:rsid w:val="00D817BE"/>
    <w:rsid w:val="00D8385E"/>
    <w:rsid w:val="00D9147C"/>
    <w:rsid w:val="00D922C3"/>
    <w:rsid w:val="00D96E5E"/>
    <w:rsid w:val="00DA56B5"/>
    <w:rsid w:val="00DA5D69"/>
    <w:rsid w:val="00DA5FC1"/>
    <w:rsid w:val="00DC34D3"/>
    <w:rsid w:val="00DC6502"/>
    <w:rsid w:val="00DD06D3"/>
    <w:rsid w:val="00DD1E16"/>
    <w:rsid w:val="00DD240B"/>
    <w:rsid w:val="00DD3109"/>
    <w:rsid w:val="00DD4762"/>
    <w:rsid w:val="00DE20B6"/>
    <w:rsid w:val="00DF070A"/>
    <w:rsid w:val="00DF37B6"/>
    <w:rsid w:val="00DF4500"/>
    <w:rsid w:val="00DF508B"/>
    <w:rsid w:val="00DF7394"/>
    <w:rsid w:val="00E014E3"/>
    <w:rsid w:val="00E01ED6"/>
    <w:rsid w:val="00E033A1"/>
    <w:rsid w:val="00E10E6D"/>
    <w:rsid w:val="00E15C80"/>
    <w:rsid w:val="00E2169C"/>
    <w:rsid w:val="00E23180"/>
    <w:rsid w:val="00E233F0"/>
    <w:rsid w:val="00E30C4D"/>
    <w:rsid w:val="00E31158"/>
    <w:rsid w:val="00E31A5A"/>
    <w:rsid w:val="00E3503A"/>
    <w:rsid w:val="00E353F9"/>
    <w:rsid w:val="00E42B27"/>
    <w:rsid w:val="00E431BF"/>
    <w:rsid w:val="00E47C80"/>
    <w:rsid w:val="00E50BB3"/>
    <w:rsid w:val="00E50D00"/>
    <w:rsid w:val="00E510D9"/>
    <w:rsid w:val="00E52690"/>
    <w:rsid w:val="00E53229"/>
    <w:rsid w:val="00E536D9"/>
    <w:rsid w:val="00E55D44"/>
    <w:rsid w:val="00E55FC1"/>
    <w:rsid w:val="00E626B8"/>
    <w:rsid w:val="00E63AA4"/>
    <w:rsid w:val="00E64DD6"/>
    <w:rsid w:val="00E67D52"/>
    <w:rsid w:val="00E73CD1"/>
    <w:rsid w:val="00E75A13"/>
    <w:rsid w:val="00E8465D"/>
    <w:rsid w:val="00E84B9B"/>
    <w:rsid w:val="00E91E76"/>
    <w:rsid w:val="00E9515A"/>
    <w:rsid w:val="00E97077"/>
    <w:rsid w:val="00E97FC4"/>
    <w:rsid w:val="00EB0A80"/>
    <w:rsid w:val="00EB0AE7"/>
    <w:rsid w:val="00EC0838"/>
    <w:rsid w:val="00EC285D"/>
    <w:rsid w:val="00EC362B"/>
    <w:rsid w:val="00EC4BB9"/>
    <w:rsid w:val="00ED1074"/>
    <w:rsid w:val="00EE10B6"/>
    <w:rsid w:val="00EE1983"/>
    <w:rsid w:val="00EE32CA"/>
    <w:rsid w:val="00EE62DF"/>
    <w:rsid w:val="00EE7084"/>
    <w:rsid w:val="00EF1E94"/>
    <w:rsid w:val="00EF36AD"/>
    <w:rsid w:val="00EF5C24"/>
    <w:rsid w:val="00EF60B4"/>
    <w:rsid w:val="00EF70D9"/>
    <w:rsid w:val="00F12AC4"/>
    <w:rsid w:val="00F131F4"/>
    <w:rsid w:val="00F14476"/>
    <w:rsid w:val="00F15CB3"/>
    <w:rsid w:val="00F166FB"/>
    <w:rsid w:val="00F25796"/>
    <w:rsid w:val="00F25FCE"/>
    <w:rsid w:val="00F326E4"/>
    <w:rsid w:val="00F44712"/>
    <w:rsid w:val="00F457A4"/>
    <w:rsid w:val="00F51836"/>
    <w:rsid w:val="00F54B9B"/>
    <w:rsid w:val="00F6034D"/>
    <w:rsid w:val="00F604C7"/>
    <w:rsid w:val="00F613C7"/>
    <w:rsid w:val="00F67C6E"/>
    <w:rsid w:val="00F7320B"/>
    <w:rsid w:val="00F7621F"/>
    <w:rsid w:val="00F77B7E"/>
    <w:rsid w:val="00F77C75"/>
    <w:rsid w:val="00F823AC"/>
    <w:rsid w:val="00F87FEC"/>
    <w:rsid w:val="00F95F73"/>
    <w:rsid w:val="00FA1A46"/>
    <w:rsid w:val="00FB1A28"/>
    <w:rsid w:val="00FB27F2"/>
    <w:rsid w:val="00FB3E92"/>
    <w:rsid w:val="00FC0494"/>
    <w:rsid w:val="00FC298D"/>
    <w:rsid w:val="00FC2D03"/>
    <w:rsid w:val="00FC5AEF"/>
    <w:rsid w:val="00FD410A"/>
    <w:rsid w:val="00FD5403"/>
    <w:rsid w:val="00FE5064"/>
    <w:rsid w:val="00FE6720"/>
    <w:rsid w:val="00FE74F7"/>
    <w:rsid w:val="00FF2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1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4003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rsid w:val="00754003"/>
    <w:pPr>
      <w:keepNext/>
      <w:jc w:val="right"/>
      <w:outlineLvl w:val="0"/>
    </w:pPr>
    <w:rPr>
      <w:rFonts w:ascii="Times New Roman" w:hAnsi="Times New Roman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54003"/>
    <w:pPr>
      <w:keepNext/>
      <w:jc w:val="center"/>
      <w:outlineLvl w:val="1"/>
    </w:pPr>
    <w:rPr>
      <w:rFonts w:ascii="Times New Roman" w:hAnsi="Times New Roman"/>
      <w:b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54003"/>
    <w:pPr>
      <w:keepNext/>
      <w:outlineLvl w:val="2"/>
    </w:pPr>
    <w:rPr>
      <w:rFonts w:ascii="Times New Roman" w:hAnsi="Times New Roman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54003"/>
    <w:pPr>
      <w:keepNext/>
      <w:outlineLvl w:val="3"/>
    </w:pPr>
    <w:rPr>
      <w:b/>
      <w:cap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0B45A2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023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0230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023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0230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0230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Intestazione">
    <w:name w:val="header"/>
    <w:basedOn w:val="Normale"/>
    <w:link w:val="IntestazioneCarattere"/>
    <w:rsid w:val="000128D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predefinitoparagrafo"/>
    <w:link w:val="Intestazione"/>
    <w:uiPriority w:val="99"/>
    <w:semiHidden/>
    <w:rsid w:val="00A02309"/>
    <w:rPr>
      <w:rFonts w:ascii="Arial" w:hAnsi="Arial"/>
      <w:sz w:val="24"/>
      <w:szCs w:val="20"/>
    </w:rPr>
  </w:style>
  <w:style w:type="paragraph" w:styleId="Pidipagina">
    <w:name w:val="footer"/>
    <w:basedOn w:val="Normale"/>
    <w:link w:val="PidipaginaCarattere"/>
    <w:rsid w:val="000128D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predefinitoparagrafo"/>
    <w:link w:val="Pidipagina"/>
    <w:uiPriority w:val="99"/>
    <w:semiHidden/>
    <w:rsid w:val="00A02309"/>
    <w:rPr>
      <w:rFonts w:ascii="Arial" w:hAnsi="Arial"/>
      <w:sz w:val="24"/>
      <w:szCs w:val="20"/>
    </w:rPr>
  </w:style>
  <w:style w:type="paragraph" w:styleId="Corpodeltesto">
    <w:name w:val="Body Text"/>
    <w:basedOn w:val="Normale"/>
    <w:link w:val="CorpodeltestoCarattere"/>
    <w:rsid w:val="00754003"/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02309"/>
    <w:rPr>
      <w:rFonts w:ascii="Arial" w:hAnsi="Arial"/>
      <w:sz w:val="24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754003"/>
    <w:pPr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02309"/>
    <w:rPr>
      <w:rFonts w:ascii="Arial" w:hAnsi="Arial"/>
      <w:sz w:val="24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E63AA4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02309"/>
    <w:rPr>
      <w:rFonts w:ascii="Arial" w:hAnsi="Arial"/>
      <w:sz w:val="24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4B01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2309"/>
    <w:rPr>
      <w:sz w:val="0"/>
      <w:szCs w:val="0"/>
    </w:rPr>
  </w:style>
  <w:style w:type="character" w:styleId="Numeropagina">
    <w:name w:val="page number"/>
    <w:basedOn w:val="Carpredefinitoparagrafo"/>
    <w:uiPriority w:val="99"/>
    <w:rsid w:val="004B0139"/>
    <w:rPr>
      <w:rFonts w:cs="Times New Roman"/>
    </w:rPr>
  </w:style>
  <w:style w:type="character" w:customStyle="1" w:styleId="titolobold">
    <w:name w:val="titolobold"/>
    <w:basedOn w:val="Carpredefinitoparagrafo"/>
    <w:uiPriority w:val="99"/>
    <w:rsid w:val="00451070"/>
    <w:rPr>
      <w:rFonts w:cs="Times New Roman"/>
    </w:rPr>
  </w:style>
  <w:style w:type="paragraph" w:styleId="Testonormale">
    <w:name w:val="Plain Text"/>
    <w:basedOn w:val="Normale"/>
    <w:link w:val="TestonormaleCarattere"/>
    <w:rsid w:val="00512870"/>
    <w:rPr>
      <w:rFonts w:ascii="Courier New" w:hAnsi="Courier New"/>
      <w:sz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02309"/>
    <w:rPr>
      <w:rFonts w:ascii="Courier New" w:hAnsi="Courier New" w:cs="Courier New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150CA2"/>
    <w:rPr>
      <w:rFonts w:cs="Times New Roman"/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locked/>
    <w:rsid w:val="00BF6A37"/>
    <w:rPr>
      <w:rFonts w:ascii="Arial" w:hAnsi="Arial" w:cs="Times New Roman"/>
      <w:sz w:val="24"/>
    </w:rPr>
  </w:style>
  <w:style w:type="character" w:customStyle="1" w:styleId="PidipaginaCarattere">
    <w:name w:val="Piè di pagina Carattere"/>
    <w:basedOn w:val="Carpredefinitoparagrafo"/>
    <w:link w:val="Pidipagina"/>
    <w:locked/>
    <w:rsid w:val="00477898"/>
    <w:rPr>
      <w:rFonts w:ascii="Arial" w:hAnsi="Arial" w:cs="Times New Roman"/>
      <w:sz w:val="24"/>
    </w:rPr>
  </w:style>
  <w:style w:type="paragraph" w:styleId="NormaleWeb">
    <w:name w:val="Normal (Web)"/>
    <w:basedOn w:val="Normale"/>
    <w:uiPriority w:val="99"/>
    <w:unhideWhenUsed/>
    <w:rsid w:val="00792A4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il">
    <w:name w:val="il"/>
    <w:basedOn w:val="Carpredefinitoparagrafo"/>
    <w:rsid w:val="00792A44"/>
  </w:style>
  <w:style w:type="paragraph" w:styleId="Paragrafoelenco">
    <w:name w:val="List Paragraph"/>
    <w:basedOn w:val="Normale"/>
    <w:uiPriority w:val="34"/>
    <w:qFormat/>
    <w:rsid w:val="009C7D17"/>
    <w:pPr>
      <w:ind w:left="708"/>
    </w:pPr>
    <w:rPr>
      <w:rFonts w:ascii="Times New Roman" w:hAnsi="Times New Roman"/>
      <w:szCs w:val="24"/>
    </w:rPr>
  </w:style>
  <w:style w:type="paragraph" w:customStyle="1" w:styleId="LO-normal">
    <w:name w:val="LO-normal"/>
    <w:qFormat/>
    <w:rsid w:val="005E6B99"/>
    <w:pPr>
      <w:suppressAutoHyphens/>
    </w:pPr>
    <w:rPr>
      <w:rFonts w:eastAsia="NSimSun" w:cs="Arial"/>
      <w:lang w:eastAsia="zh-CN" w:bidi="hi-IN"/>
    </w:rPr>
  </w:style>
  <w:style w:type="paragraph" w:customStyle="1" w:styleId="Default">
    <w:name w:val="Default"/>
    <w:rsid w:val="00D6196E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BF4C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68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2009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</vt:lpstr>
    </vt:vector>
  </TitlesOfParts>
  <Company>Olidata S.p.A.</Company>
  <LinksUpToDate>false</LinksUpToDate>
  <CharactersWithSpaces>13440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</dc:title>
  <dc:creator>c.tassinari</dc:creator>
  <cp:lastModifiedBy>p.marzola</cp:lastModifiedBy>
  <cp:revision>2</cp:revision>
  <cp:lastPrinted>2022-02-09T07:33:00Z</cp:lastPrinted>
  <dcterms:created xsi:type="dcterms:W3CDTF">2022-02-09T07:33:00Z</dcterms:created>
  <dcterms:modified xsi:type="dcterms:W3CDTF">2022-02-09T07:33:00Z</dcterms:modified>
</cp:coreProperties>
</file>