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9C" w:rsidRDefault="00D85A9C" w:rsidP="00B67EC7">
      <w:pPr>
        <w:pStyle w:val="TC"/>
        <w:spacing w:line="360" w:lineRule="auto"/>
        <w:jc w:val="both"/>
        <w:rPr>
          <w:rFonts w:ascii="Cambria" w:hAnsi="Cambria" w:cs="Calibri"/>
          <w:b/>
          <w:bCs/>
          <w:color w:val="000000"/>
          <w:szCs w:val="22"/>
        </w:rPr>
      </w:pPr>
      <w:r>
        <w:rPr>
          <w:rFonts w:ascii="Cambria" w:hAnsi="Cambria" w:cs="Calibri"/>
          <w:b/>
          <w:bCs/>
          <w:color w:val="000000"/>
          <w:szCs w:val="22"/>
        </w:rPr>
        <w:t>12887-2021 E ALLEGATO</w:t>
      </w:r>
    </w:p>
    <w:p w:rsidR="00D85A9C" w:rsidRDefault="00D85A9C" w:rsidP="00B67EC7">
      <w:pPr>
        <w:pStyle w:val="TC"/>
        <w:spacing w:line="360" w:lineRule="auto"/>
        <w:jc w:val="both"/>
        <w:rPr>
          <w:rFonts w:ascii="Cambria" w:hAnsi="Cambria" w:cs="Calibri"/>
          <w:b/>
          <w:bCs/>
          <w:color w:val="000000"/>
          <w:szCs w:val="22"/>
        </w:rPr>
      </w:pPr>
    </w:p>
    <w:p w:rsidR="00D85A9C" w:rsidRDefault="00D85A9C" w:rsidP="00B67EC7">
      <w:pPr>
        <w:pStyle w:val="TC"/>
        <w:spacing w:line="360" w:lineRule="auto"/>
        <w:jc w:val="both"/>
        <w:rPr>
          <w:rFonts w:ascii="Cambria" w:hAnsi="Cambria" w:cs="Calibri"/>
          <w:b/>
          <w:bCs/>
          <w:color w:val="000000"/>
          <w:szCs w:val="22"/>
        </w:rPr>
      </w:pPr>
      <w:r>
        <w:rPr>
          <w:rFonts w:ascii="Cambria" w:hAnsi="Cambria" w:cs="Calibri"/>
          <w:b/>
          <w:bCs/>
          <w:color w:val="000000"/>
          <w:szCs w:val="22"/>
        </w:rPr>
        <w:t>ISTRUTTORIA CONSILIARE____________________</w:t>
      </w:r>
    </w:p>
    <w:p w:rsidR="00D85A9C" w:rsidRDefault="00D85A9C" w:rsidP="00B67EC7">
      <w:pPr>
        <w:pStyle w:val="TC"/>
        <w:spacing w:line="360" w:lineRule="auto"/>
        <w:jc w:val="both"/>
        <w:rPr>
          <w:rFonts w:ascii="Cambria" w:hAnsi="Cambria" w:cs="Calibri"/>
          <w:b/>
          <w:bCs/>
          <w:color w:val="000000"/>
          <w:szCs w:val="22"/>
        </w:rPr>
      </w:pPr>
    </w:p>
    <w:p w:rsidR="00B67EC7" w:rsidRDefault="00B67EC7" w:rsidP="00B67EC7">
      <w:pPr>
        <w:pStyle w:val="TC"/>
        <w:spacing w:line="360" w:lineRule="auto"/>
        <w:jc w:val="both"/>
        <w:rPr>
          <w:rFonts w:asciiTheme="majorHAnsi" w:hAnsiTheme="majorHAnsi"/>
          <w:szCs w:val="22"/>
        </w:rPr>
      </w:pPr>
      <w:r w:rsidRPr="00A25EB1">
        <w:rPr>
          <w:rFonts w:ascii="Cambria" w:hAnsi="Cambria" w:cs="Calibri"/>
          <w:b/>
          <w:bCs/>
          <w:color w:val="000000"/>
          <w:szCs w:val="22"/>
        </w:rPr>
        <w:t>OGGETTO: APPROVAZIONE NUOVO CONTRATTO DI SINDACATO DI VOTO E DI DISCIPLINA DEI TRASFERIMENTI AZIONARI TRA I SOCI PUBBLICI DI HERA S.P.A. PER IL PERIODO 01.07.2021 – 30.06.2024</w:t>
      </w:r>
    </w:p>
    <w:p w:rsidR="00B67EC7" w:rsidRDefault="00B67EC7" w:rsidP="00B67EC7">
      <w:pPr>
        <w:pStyle w:val="TC"/>
        <w:spacing w:line="360" w:lineRule="auto"/>
        <w:rPr>
          <w:rFonts w:asciiTheme="majorHAnsi" w:hAnsiTheme="majorHAnsi"/>
          <w:szCs w:val="22"/>
        </w:rPr>
      </w:pPr>
    </w:p>
    <w:p w:rsidR="00202D6F" w:rsidRPr="00B67EC7" w:rsidRDefault="00202D6F" w:rsidP="00B67EC7">
      <w:pPr>
        <w:pStyle w:val="TC"/>
        <w:spacing w:line="360" w:lineRule="auto"/>
        <w:rPr>
          <w:rFonts w:asciiTheme="majorHAnsi" w:hAnsiTheme="majorHAnsi"/>
          <w:b/>
          <w:szCs w:val="22"/>
        </w:rPr>
      </w:pPr>
      <w:r w:rsidRPr="00B67EC7">
        <w:rPr>
          <w:rFonts w:asciiTheme="majorHAnsi" w:hAnsiTheme="majorHAnsi"/>
          <w:b/>
          <w:szCs w:val="22"/>
        </w:rPr>
        <w:t>IL CONSIGLIO COMUNALE</w:t>
      </w:r>
    </w:p>
    <w:p w:rsidR="00B90EF4" w:rsidRPr="00B67EC7" w:rsidRDefault="00B90EF4" w:rsidP="00B67EC7">
      <w:pPr>
        <w:pStyle w:val="TC"/>
        <w:spacing w:line="360" w:lineRule="auto"/>
        <w:rPr>
          <w:rFonts w:asciiTheme="majorHAnsi" w:hAnsiTheme="majorHAnsi"/>
          <w:szCs w:val="22"/>
        </w:rPr>
      </w:pPr>
    </w:p>
    <w:p w:rsidR="00907104" w:rsidRPr="00B67EC7" w:rsidRDefault="00B67EC7" w:rsidP="00B67EC7">
      <w:pPr>
        <w:spacing w:line="360" w:lineRule="auto"/>
        <w:jc w:val="left"/>
        <w:rPr>
          <w:rFonts w:asciiTheme="majorHAnsi" w:hAnsiTheme="majorHAnsi"/>
          <w:szCs w:val="22"/>
        </w:rPr>
      </w:pPr>
      <w:r>
        <w:rPr>
          <w:rFonts w:asciiTheme="majorHAnsi" w:hAnsiTheme="majorHAnsi"/>
          <w:b/>
          <w:szCs w:val="22"/>
        </w:rPr>
        <w:t>PREMESSO:</w:t>
      </w:r>
    </w:p>
    <w:p w:rsidR="00907104" w:rsidRPr="00B67EC7" w:rsidRDefault="00B67EC7" w:rsidP="00B67EC7">
      <w:pPr>
        <w:numPr>
          <w:ilvl w:val="0"/>
          <w:numId w:val="1"/>
        </w:numPr>
        <w:spacing w:line="360" w:lineRule="auto"/>
        <w:ind w:left="426" w:hanging="426"/>
        <w:rPr>
          <w:rFonts w:asciiTheme="majorHAnsi" w:hAnsiTheme="majorHAnsi"/>
          <w:szCs w:val="22"/>
        </w:rPr>
      </w:pPr>
      <w:r w:rsidRPr="00B67EC7">
        <w:rPr>
          <w:rFonts w:asciiTheme="majorHAnsi" w:hAnsiTheme="majorHAnsi"/>
          <w:szCs w:val="22"/>
        </w:rPr>
        <w:t xml:space="preserve">che il Comune di Ferrara detiene direttamente una partecipazione in HERA S.p.A. (“HERA” o “Società”) di n. 1.310.640 azioni, pari allo 0,087% del capitale sociale e, indirettamente, tramite </w:t>
      </w:r>
      <w:smartTag w:uri="urn:schemas-microsoft-com:office:smarttags" w:element="PersonName">
        <w:smartTagPr>
          <w:attr w:name="ProductID" w:val="la Società"/>
        </w:smartTagPr>
        <w:r w:rsidRPr="00B67EC7">
          <w:rPr>
            <w:rFonts w:asciiTheme="majorHAnsi" w:hAnsiTheme="majorHAnsi"/>
            <w:szCs w:val="22"/>
          </w:rPr>
          <w:t>la Società</w:t>
        </w:r>
      </w:smartTag>
      <w:r w:rsidRPr="00B67EC7">
        <w:rPr>
          <w:rFonts w:asciiTheme="majorHAnsi" w:hAnsiTheme="majorHAnsi"/>
          <w:szCs w:val="22"/>
        </w:rPr>
        <w:t xml:space="preserve"> unipersonale “Holding Ferrara Servizi Srl”, n. 24.235.320 azioni, pari all’1,627% del capitale sociale</w:t>
      </w:r>
      <w:r w:rsidR="00B90EF4" w:rsidRPr="00B67EC7">
        <w:rPr>
          <w:rFonts w:asciiTheme="majorHAnsi" w:hAnsiTheme="majorHAnsi"/>
          <w:szCs w:val="22"/>
        </w:rPr>
        <w:t>;</w:t>
      </w:r>
    </w:p>
    <w:p w:rsidR="00F863E1" w:rsidRPr="00B67EC7" w:rsidRDefault="00B67EC7"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in data 21 maggio 2018, </w:t>
      </w:r>
      <w:r w:rsidR="00B90EF4" w:rsidRPr="00B67EC7">
        <w:rPr>
          <w:rFonts w:asciiTheme="majorHAnsi" w:hAnsiTheme="majorHAnsi"/>
          <w:szCs w:val="22"/>
        </w:rPr>
        <w:t xml:space="preserve">con deliberazione </w:t>
      </w:r>
      <w:r>
        <w:rPr>
          <w:rFonts w:asciiTheme="majorHAnsi" w:hAnsiTheme="majorHAnsi"/>
          <w:szCs w:val="22"/>
        </w:rPr>
        <w:t xml:space="preserve">del Consiglio Comunale Verbale n. 4, P.G. n. 41482/2018, il Comune di Ferrara </w:t>
      </w:r>
      <w:r w:rsidR="00B90EF4" w:rsidRPr="00B67EC7">
        <w:rPr>
          <w:rFonts w:asciiTheme="majorHAnsi" w:hAnsiTheme="majorHAnsi"/>
          <w:szCs w:val="22"/>
        </w:rPr>
        <w:t xml:space="preserve">ha approvato </w:t>
      </w:r>
      <w:r>
        <w:rPr>
          <w:rFonts w:asciiTheme="majorHAnsi" w:hAnsiTheme="majorHAnsi"/>
          <w:szCs w:val="22"/>
        </w:rPr>
        <w:t>l’adesione</w:t>
      </w:r>
      <w:r w:rsidR="0089087C">
        <w:rPr>
          <w:rFonts w:asciiTheme="majorHAnsi" w:hAnsiTheme="majorHAnsi"/>
          <w:szCs w:val="22"/>
        </w:rPr>
        <w:t xml:space="preserve"> al</w:t>
      </w:r>
      <w:r w:rsidR="00B90EF4" w:rsidRPr="00B67EC7">
        <w:rPr>
          <w:rFonts w:asciiTheme="majorHAnsi" w:hAnsiTheme="majorHAnsi"/>
          <w:szCs w:val="22"/>
        </w:rPr>
        <w:t xml:space="preserve"> “</w:t>
      </w:r>
      <w:r w:rsidR="00B90EF4" w:rsidRPr="00B67EC7">
        <w:rPr>
          <w:rFonts w:asciiTheme="majorHAnsi" w:hAnsiTheme="majorHAnsi"/>
          <w:i/>
          <w:szCs w:val="22"/>
        </w:rPr>
        <w:t>Contratto di sindacato di voto e di disciplina dei trasferimenti azionari</w:t>
      </w:r>
      <w:r w:rsidR="00B90EF4" w:rsidRPr="00B67EC7">
        <w:rPr>
          <w:rFonts w:asciiTheme="majorHAnsi" w:hAnsiTheme="majorHAnsi"/>
          <w:szCs w:val="22"/>
        </w:rPr>
        <w:t>” (“</w:t>
      </w:r>
      <w:r w:rsidR="0044197F" w:rsidRPr="00B67EC7">
        <w:rPr>
          <w:rFonts w:asciiTheme="majorHAnsi" w:hAnsiTheme="majorHAnsi"/>
          <w:b/>
          <w:szCs w:val="22"/>
        </w:rPr>
        <w:t>Patto</w:t>
      </w:r>
      <w:r w:rsidR="00161C6D" w:rsidRPr="00B67EC7">
        <w:rPr>
          <w:rFonts w:asciiTheme="majorHAnsi" w:hAnsiTheme="majorHAnsi"/>
          <w:b/>
          <w:szCs w:val="22"/>
        </w:rPr>
        <w:t>1</w:t>
      </w:r>
      <w:r w:rsidR="004F3DC6" w:rsidRPr="00B67EC7">
        <w:rPr>
          <w:rFonts w:asciiTheme="majorHAnsi" w:hAnsiTheme="majorHAnsi"/>
          <w:b/>
          <w:szCs w:val="22"/>
        </w:rPr>
        <w:t>8</w:t>
      </w:r>
      <w:r w:rsidR="00EB331F" w:rsidRPr="00B67EC7">
        <w:rPr>
          <w:rFonts w:asciiTheme="majorHAnsi" w:hAnsiTheme="majorHAnsi"/>
          <w:b/>
          <w:szCs w:val="22"/>
        </w:rPr>
        <w:t>–</w:t>
      </w:r>
      <w:r w:rsidR="004F3DC6" w:rsidRPr="00B67EC7">
        <w:rPr>
          <w:rFonts w:asciiTheme="majorHAnsi" w:hAnsiTheme="majorHAnsi"/>
          <w:b/>
          <w:szCs w:val="22"/>
        </w:rPr>
        <w:t>21</w:t>
      </w:r>
      <w:r w:rsidR="00B90EF4" w:rsidRPr="00B67EC7">
        <w:rPr>
          <w:rFonts w:asciiTheme="majorHAnsi" w:hAnsiTheme="majorHAnsi"/>
          <w:szCs w:val="22"/>
        </w:rPr>
        <w:t xml:space="preserve">”), che disciplina modalità di consultazione ed assunzione congiunta di talune deliberazioni </w:t>
      </w:r>
      <w:r w:rsidR="00F7116F" w:rsidRPr="00B67EC7">
        <w:rPr>
          <w:rFonts w:asciiTheme="majorHAnsi" w:hAnsiTheme="majorHAnsi"/>
          <w:szCs w:val="22"/>
        </w:rPr>
        <w:t>della Società</w:t>
      </w:r>
      <w:r w:rsidR="002536B2" w:rsidRPr="00B67EC7">
        <w:rPr>
          <w:rFonts w:asciiTheme="majorHAnsi" w:hAnsiTheme="majorHAnsi"/>
          <w:szCs w:val="22"/>
        </w:rPr>
        <w:t xml:space="preserve">; </w:t>
      </w:r>
      <w:r w:rsidR="00B90EF4" w:rsidRPr="00B67EC7">
        <w:rPr>
          <w:rFonts w:asciiTheme="majorHAnsi" w:hAnsiTheme="majorHAnsi"/>
          <w:szCs w:val="22"/>
        </w:rPr>
        <w:t>disciplina</w:t>
      </w:r>
      <w:r w:rsidR="002536B2" w:rsidRPr="00B67EC7">
        <w:rPr>
          <w:rFonts w:asciiTheme="majorHAnsi" w:hAnsiTheme="majorHAnsi"/>
          <w:szCs w:val="22"/>
        </w:rPr>
        <w:t xml:space="preserve"> inoltre</w:t>
      </w:r>
      <w:r w:rsidR="00B90EF4" w:rsidRPr="00B67EC7">
        <w:rPr>
          <w:rFonts w:asciiTheme="majorHAnsi" w:hAnsiTheme="majorHAnsi"/>
          <w:szCs w:val="22"/>
        </w:rPr>
        <w:t xml:space="preserve"> le modalità di circolazione delle azioni HERA oggetto del </w:t>
      </w:r>
      <w:r w:rsidR="0044197F" w:rsidRPr="00B67EC7">
        <w:rPr>
          <w:rFonts w:asciiTheme="majorHAnsi" w:hAnsiTheme="majorHAnsi"/>
          <w:szCs w:val="22"/>
        </w:rPr>
        <w:t>Patto</w:t>
      </w:r>
      <w:r w:rsidR="00E00D37" w:rsidRPr="00B67EC7">
        <w:rPr>
          <w:rFonts w:asciiTheme="majorHAnsi" w:hAnsiTheme="majorHAnsi"/>
          <w:szCs w:val="22"/>
        </w:rPr>
        <w:t xml:space="preserve"> 1</w:t>
      </w:r>
      <w:r w:rsidR="004F3DC6" w:rsidRPr="00B67EC7">
        <w:rPr>
          <w:rFonts w:asciiTheme="majorHAnsi" w:hAnsiTheme="majorHAnsi"/>
          <w:szCs w:val="22"/>
        </w:rPr>
        <w:t>8</w:t>
      </w:r>
      <w:r w:rsidR="00E00D37" w:rsidRPr="00B67EC7">
        <w:rPr>
          <w:rFonts w:asciiTheme="majorHAnsi" w:hAnsiTheme="majorHAnsi"/>
          <w:szCs w:val="22"/>
        </w:rPr>
        <w:t>-</w:t>
      </w:r>
      <w:r w:rsidR="004F3DC6" w:rsidRPr="00B67EC7">
        <w:rPr>
          <w:rFonts w:asciiTheme="majorHAnsi" w:hAnsiTheme="majorHAnsi"/>
          <w:szCs w:val="22"/>
        </w:rPr>
        <w:t>21</w:t>
      </w:r>
      <w:r w:rsidR="00B90EF4" w:rsidRPr="00B67EC7">
        <w:rPr>
          <w:rFonts w:asciiTheme="majorHAnsi" w:hAnsiTheme="majorHAnsi"/>
          <w:szCs w:val="22"/>
        </w:rPr>
        <w:t xml:space="preserve"> ponendo limiti ai trasferimenti azionari dei soci pubblici (“</w:t>
      </w:r>
      <w:r w:rsidR="00B90EF4" w:rsidRPr="00B67EC7">
        <w:rPr>
          <w:rFonts w:asciiTheme="majorHAnsi" w:hAnsiTheme="majorHAnsi"/>
          <w:b/>
          <w:szCs w:val="22"/>
        </w:rPr>
        <w:t>Soci Pubblici</w:t>
      </w:r>
      <w:r w:rsidR="00F863E1" w:rsidRPr="00B67EC7">
        <w:rPr>
          <w:rFonts w:asciiTheme="majorHAnsi" w:hAnsiTheme="majorHAnsi"/>
          <w:szCs w:val="22"/>
        </w:rPr>
        <w:t xml:space="preserve">”) aderenti; sono infatti disciplinati </w:t>
      </w:r>
      <w:r w:rsidR="007819C0" w:rsidRPr="00B67EC7">
        <w:rPr>
          <w:rFonts w:asciiTheme="majorHAnsi" w:hAnsiTheme="majorHAnsi"/>
          <w:szCs w:val="22"/>
        </w:rPr>
        <w:t>un sindacato di voto ed un S</w:t>
      </w:r>
      <w:r w:rsidR="00F863E1" w:rsidRPr="00B67EC7">
        <w:rPr>
          <w:rFonts w:asciiTheme="majorHAnsi" w:hAnsiTheme="majorHAnsi"/>
          <w:szCs w:val="22"/>
        </w:rPr>
        <w:t xml:space="preserve">indacato di </w:t>
      </w:r>
      <w:r w:rsidR="007819C0" w:rsidRPr="00B67EC7">
        <w:rPr>
          <w:rFonts w:asciiTheme="majorHAnsi" w:hAnsiTheme="majorHAnsi"/>
          <w:szCs w:val="22"/>
        </w:rPr>
        <w:t>B</w:t>
      </w:r>
      <w:r w:rsidR="00F863E1" w:rsidRPr="00B67EC7">
        <w:rPr>
          <w:rFonts w:asciiTheme="majorHAnsi" w:hAnsiTheme="majorHAnsi"/>
          <w:szCs w:val="22"/>
        </w:rPr>
        <w:t>locco sulle partecipazioni azionarie detenute dai Soci Pubblici nel capitale sociale della Società;</w:t>
      </w:r>
    </w:p>
    <w:p w:rsidR="00A65AE0"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A65AE0" w:rsidRPr="00B67EC7">
        <w:rPr>
          <w:rFonts w:asciiTheme="majorHAnsi" w:hAnsiTheme="majorHAnsi"/>
          <w:szCs w:val="22"/>
        </w:rPr>
        <w:t>in particolare, il Sindacato di Blocco è volto ad assicurare che la prevalenza dei diritti di voto di HERA</w:t>
      </w:r>
      <w:r w:rsidR="00E00D37" w:rsidRPr="00B67EC7">
        <w:rPr>
          <w:rFonts w:asciiTheme="majorHAnsi" w:hAnsiTheme="majorHAnsi"/>
          <w:szCs w:val="22"/>
        </w:rPr>
        <w:t>, da intendersi anche come maggioranza relativa dei diritti di voto rispetto a quelli di ciascun singolo altro socio,</w:t>
      </w:r>
      <w:r w:rsidR="00A65AE0" w:rsidRPr="00B67EC7">
        <w:rPr>
          <w:rFonts w:asciiTheme="majorHAnsi" w:hAnsiTheme="majorHAnsi"/>
          <w:szCs w:val="22"/>
        </w:rPr>
        <w:t xml:space="preserve"> sia di titolarità </w:t>
      </w:r>
      <w:r w:rsidR="002536B2" w:rsidRPr="00B67EC7">
        <w:rPr>
          <w:rFonts w:asciiTheme="majorHAnsi" w:hAnsiTheme="majorHAnsi"/>
          <w:szCs w:val="22"/>
        </w:rPr>
        <w:t xml:space="preserve">di </w:t>
      </w:r>
      <w:r w:rsidR="00DF6F84" w:rsidRPr="00B67EC7">
        <w:rPr>
          <w:rFonts w:asciiTheme="majorHAnsi" w:hAnsiTheme="majorHAnsi"/>
          <w:szCs w:val="22"/>
        </w:rPr>
        <w:t>Soci Pubblici</w:t>
      </w:r>
      <w:r w:rsidR="00A65AE0" w:rsidRPr="00B67EC7">
        <w:rPr>
          <w:rFonts w:asciiTheme="majorHAnsi" w:hAnsiTheme="majorHAnsi"/>
          <w:szCs w:val="22"/>
        </w:rPr>
        <w:t>così come previsto dall’art. 7 dello Statuto</w:t>
      </w:r>
      <w:r w:rsidR="00BA67BA" w:rsidRPr="00B67EC7">
        <w:rPr>
          <w:rFonts w:asciiTheme="majorHAnsi" w:hAnsiTheme="majorHAnsi"/>
          <w:szCs w:val="22"/>
        </w:rPr>
        <w:t xml:space="preserve"> Sociale</w:t>
      </w:r>
      <w:r w:rsidR="00A65AE0" w:rsidRPr="00B67EC7">
        <w:rPr>
          <w:rFonts w:asciiTheme="majorHAnsi" w:hAnsiTheme="majorHAnsi"/>
          <w:szCs w:val="22"/>
        </w:rPr>
        <w:t xml:space="preserve">; </w:t>
      </w:r>
    </w:p>
    <w:p w:rsidR="00E91457"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161C6D" w:rsidRPr="00B67EC7">
        <w:rPr>
          <w:rFonts w:asciiTheme="majorHAnsi" w:hAnsiTheme="majorHAnsi"/>
          <w:szCs w:val="22"/>
        </w:rPr>
        <w:t xml:space="preserve">in data 26 giugno 2018 è stato stipulato </w:t>
      </w:r>
      <w:r w:rsidR="00A522FB" w:rsidRPr="00B67EC7">
        <w:rPr>
          <w:rFonts w:asciiTheme="majorHAnsi" w:hAnsiTheme="majorHAnsi"/>
          <w:szCs w:val="22"/>
        </w:rPr>
        <w:t xml:space="preserve">il </w:t>
      </w:r>
      <w:r w:rsidR="00FE1B90" w:rsidRPr="00B67EC7">
        <w:rPr>
          <w:rFonts w:asciiTheme="majorHAnsi" w:hAnsiTheme="majorHAnsi"/>
          <w:szCs w:val="22"/>
        </w:rPr>
        <w:t>Patto 1</w:t>
      </w:r>
      <w:r w:rsidR="004F3DC6" w:rsidRPr="00B67EC7">
        <w:rPr>
          <w:rFonts w:asciiTheme="majorHAnsi" w:hAnsiTheme="majorHAnsi"/>
          <w:szCs w:val="22"/>
        </w:rPr>
        <w:t>8</w:t>
      </w:r>
      <w:r w:rsidR="00FE1B90" w:rsidRPr="00B67EC7">
        <w:rPr>
          <w:rFonts w:asciiTheme="majorHAnsi" w:hAnsiTheme="majorHAnsi"/>
          <w:szCs w:val="22"/>
        </w:rPr>
        <w:t>-</w:t>
      </w:r>
      <w:r w:rsidR="004F3DC6" w:rsidRPr="00B67EC7">
        <w:rPr>
          <w:rFonts w:asciiTheme="majorHAnsi" w:hAnsiTheme="majorHAnsi"/>
          <w:szCs w:val="22"/>
        </w:rPr>
        <w:t>21</w:t>
      </w:r>
      <w:r w:rsidR="00161C6D" w:rsidRPr="00B67EC7">
        <w:rPr>
          <w:rFonts w:asciiTheme="majorHAnsi" w:hAnsiTheme="majorHAnsi"/>
          <w:szCs w:val="22"/>
        </w:rPr>
        <w:t xml:space="preserve">, sottoscritto da </w:t>
      </w:r>
      <w:r w:rsidR="007819C0" w:rsidRPr="00B67EC7">
        <w:rPr>
          <w:rFonts w:asciiTheme="majorHAnsi" w:hAnsiTheme="majorHAnsi"/>
          <w:szCs w:val="22"/>
        </w:rPr>
        <w:t>11</w:t>
      </w:r>
      <w:r w:rsidR="004F3DC6" w:rsidRPr="00B67EC7">
        <w:rPr>
          <w:rFonts w:asciiTheme="majorHAnsi" w:hAnsiTheme="majorHAnsi"/>
          <w:szCs w:val="22"/>
        </w:rPr>
        <w:t>1</w:t>
      </w:r>
      <w:r w:rsidR="00CC225A" w:rsidRPr="00B67EC7">
        <w:rPr>
          <w:rFonts w:asciiTheme="majorHAnsi" w:hAnsiTheme="majorHAnsi"/>
          <w:szCs w:val="22"/>
        </w:rPr>
        <w:t xml:space="preserve"> azionisti pubblici</w:t>
      </w:r>
      <w:r w:rsidR="00161C6D" w:rsidRPr="00B67EC7">
        <w:rPr>
          <w:rFonts w:asciiTheme="majorHAnsi" w:hAnsiTheme="majorHAnsi"/>
          <w:szCs w:val="22"/>
        </w:rPr>
        <w:t>,</w:t>
      </w:r>
      <w:r w:rsidR="00B90EF4" w:rsidRPr="00B67EC7">
        <w:rPr>
          <w:rFonts w:asciiTheme="majorHAnsi" w:hAnsiTheme="majorHAnsi"/>
          <w:szCs w:val="22"/>
        </w:rPr>
        <w:t xml:space="preserve"> con decorrenza dal 1° luglio 201</w:t>
      </w:r>
      <w:r w:rsidR="004F3DC6" w:rsidRPr="00B67EC7">
        <w:rPr>
          <w:rFonts w:asciiTheme="majorHAnsi" w:hAnsiTheme="majorHAnsi"/>
          <w:szCs w:val="22"/>
        </w:rPr>
        <w:t>8</w:t>
      </w:r>
      <w:r w:rsidR="00CD40E7" w:rsidRPr="00B67EC7">
        <w:rPr>
          <w:rFonts w:asciiTheme="majorHAnsi" w:hAnsiTheme="majorHAnsi"/>
          <w:szCs w:val="22"/>
        </w:rPr>
        <w:t xml:space="preserve">e </w:t>
      </w:r>
      <w:r w:rsidR="00E91457" w:rsidRPr="00B67EC7">
        <w:rPr>
          <w:rFonts w:asciiTheme="majorHAnsi" w:hAnsiTheme="majorHAnsi"/>
          <w:szCs w:val="22"/>
        </w:rPr>
        <w:t xml:space="preserve">scadenza </w:t>
      </w:r>
      <w:r w:rsidR="00B90EF4" w:rsidRPr="00B67EC7">
        <w:rPr>
          <w:rFonts w:asciiTheme="majorHAnsi" w:hAnsiTheme="majorHAnsi"/>
          <w:szCs w:val="22"/>
        </w:rPr>
        <w:t>al 30 giugno 20</w:t>
      </w:r>
      <w:r w:rsidR="004F3DC6" w:rsidRPr="00B67EC7">
        <w:rPr>
          <w:rFonts w:asciiTheme="majorHAnsi" w:hAnsiTheme="majorHAnsi"/>
          <w:szCs w:val="22"/>
        </w:rPr>
        <w:t>21</w:t>
      </w:r>
      <w:r w:rsidR="00B90EF4" w:rsidRPr="00B67EC7">
        <w:rPr>
          <w:rFonts w:asciiTheme="majorHAnsi" w:hAnsiTheme="majorHAnsi"/>
          <w:szCs w:val="22"/>
        </w:rPr>
        <w:t>;</w:t>
      </w:r>
    </w:p>
    <w:p w:rsidR="0064051B"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D90840" w:rsidRPr="00B67EC7">
        <w:rPr>
          <w:rFonts w:asciiTheme="majorHAnsi" w:hAnsiTheme="majorHAnsi"/>
          <w:szCs w:val="22"/>
        </w:rPr>
        <w:t xml:space="preserve">in data 28 aprile 2015, </w:t>
      </w:r>
      <w:r w:rsidR="0064051B" w:rsidRPr="00B67EC7">
        <w:rPr>
          <w:rFonts w:asciiTheme="majorHAnsi" w:hAnsiTheme="majorHAnsi"/>
          <w:szCs w:val="22"/>
        </w:rPr>
        <w:t>l’Assemblea di HERA ha approvato talune modifiche allo Statuto Sociale della Società tra cui, in particolare, l’introduzione dell’art. 6.4 che disciplina il Voto Maggiorato;</w:t>
      </w:r>
    </w:p>
    <w:p w:rsidR="00714635" w:rsidRPr="00B67EC7" w:rsidRDefault="0089087C" w:rsidP="0089087C">
      <w:pPr>
        <w:pStyle w:val="Paragrafoelenco"/>
        <w:spacing w:line="360" w:lineRule="auto"/>
        <w:ind w:left="0"/>
        <w:jc w:val="left"/>
        <w:rPr>
          <w:rFonts w:asciiTheme="majorHAnsi" w:hAnsiTheme="majorHAnsi"/>
          <w:b/>
          <w:szCs w:val="22"/>
        </w:rPr>
      </w:pPr>
      <w:r w:rsidRPr="00B67EC7">
        <w:rPr>
          <w:rFonts w:asciiTheme="majorHAnsi" w:hAnsiTheme="majorHAnsi"/>
          <w:b/>
          <w:szCs w:val="22"/>
        </w:rPr>
        <w:t>RILEVATO</w:t>
      </w:r>
      <w:r>
        <w:rPr>
          <w:rFonts w:asciiTheme="majorHAnsi" w:hAnsiTheme="majorHAnsi"/>
          <w:b/>
          <w:szCs w:val="22"/>
        </w:rPr>
        <w:t>:</w:t>
      </w:r>
    </w:p>
    <w:p w:rsidR="008A44DE"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714635" w:rsidRPr="00B67EC7">
        <w:rPr>
          <w:rFonts w:asciiTheme="majorHAnsi" w:hAnsiTheme="majorHAnsi"/>
          <w:szCs w:val="22"/>
        </w:rPr>
        <w:t xml:space="preserve">in prossimità della scadenza </w:t>
      </w:r>
      <w:r w:rsidR="00F55195" w:rsidRPr="00B67EC7">
        <w:rPr>
          <w:rFonts w:asciiTheme="majorHAnsi" w:hAnsiTheme="majorHAnsi"/>
          <w:szCs w:val="22"/>
        </w:rPr>
        <w:t xml:space="preserve">del </w:t>
      </w:r>
      <w:r w:rsidR="00FE1B90" w:rsidRPr="00B67EC7">
        <w:rPr>
          <w:rFonts w:asciiTheme="majorHAnsi" w:hAnsiTheme="majorHAnsi"/>
          <w:szCs w:val="22"/>
        </w:rPr>
        <w:t>Patto 1</w:t>
      </w:r>
      <w:r w:rsidR="004F3DC6" w:rsidRPr="00B67EC7">
        <w:rPr>
          <w:rFonts w:asciiTheme="majorHAnsi" w:hAnsiTheme="majorHAnsi"/>
          <w:szCs w:val="22"/>
        </w:rPr>
        <w:t>8</w:t>
      </w:r>
      <w:r w:rsidR="00FE1B90" w:rsidRPr="00B67EC7">
        <w:rPr>
          <w:rFonts w:asciiTheme="majorHAnsi" w:hAnsiTheme="majorHAnsi"/>
          <w:szCs w:val="22"/>
        </w:rPr>
        <w:t>-</w:t>
      </w:r>
      <w:r w:rsidR="004F3DC6" w:rsidRPr="00B67EC7">
        <w:rPr>
          <w:rFonts w:asciiTheme="majorHAnsi" w:hAnsiTheme="majorHAnsi"/>
          <w:szCs w:val="22"/>
        </w:rPr>
        <w:t>21</w:t>
      </w:r>
      <w:r w:rsidR="00714635" w:rsidRPr="00B67EC7">
        <w:rPr>
          <w:rFonts w:asciiTheme="majorHAnsi" w:hAnsiTheme="majorHAnsi"/>
          <w:szCs w:val="22"/>
        </w:rPr>
        <w:t xml:space="preserve">, gli Enti ritengono di dover </w:t>
      </w:r>
      <w:r w:rsidR="00714635" w:rsidRPr="00B67EC7">
        <w:rPr>
          <w:rFonts w:asciiTheme="majorHAnsi" w:hAnsiTheme="majorHAnsi"/>
          <w:szCs w:val="22"/>
        </w:rPr>
        <w:lastRenderedPageBreak/>
        <w:t xml:space="preserve">confermare </w:t>
      </w:r>
      <w:r w:rsidR="00ED4BD3" w:rsidRPr="00B67EC7">
        <w:rPr>
          <w:rFonts w:asciiTheme="majorHAnsi" w:hAnsiTheme="majorHAnsi"/>
          <w:szCs w:val="22"/>
        </w:rPr>
        <w:t xml:space="preserve">la funzione </w:t>
      </w:r>
      <w:r w:rsidR="00714635" w:rsidRPr="00B67EC7">
        <w:rPr>
          <w:rFonts w:asciiTheme="majorHAnsi" w:hAnsiTheme="majorHAnsi"/>
          <w:szCs w:val="22"/>
        </w:rPr>
        <w:t xml:space="preserve">del </w:t>
      </w:r>
      <w:r w:rsidR="00ED4BD3" w:rsidRPr="00B67EC7">
        <w:rPr>
          <w:rFonts w:asciiTheme="majorHAnsi" w:hAnsiTheme="majorHAnsi"/>
          <w:szCs w:val="22"/>
        </w:rPr>
        <w:t>p</w:t>
      </w:r>
      <w:r w:rsidR="0044197F" w:rsidRPr="00B67EC7">
        <w:rPr>
          <w:rFonts w:asciiTheme="majorHAnsi" w:hAnsiTheme="majorHAnsi"/>
          <w:szCs w:val="22"/>
        </w:rPr>
        <w:t>atto</w:t>
      </w:r>
      <w:r w:rsidR="00630D17" w:rsidRPr="00B67EC7">
        <w:rPr>
          <w:rFonts w:asciiTheme="majorHAnsi" w:hAnsiTheme="majorHAnsi"/>
          <w:szCs w:val="22"/>
        </w:rPr>
        <w:t>tra i S</w:t>
      </w:r>
      <w:r w:rsidR="00714635" w:rsidRPr="00B67EC7">
        <w:rPr>
          <w:rFonts w:asciiTheme="majorHAnsi" w:hAnsiTheme="majorHAnsi"/>
          <w:szCs w:val="22"/>
        </w:rPr>
        <w:t>oci</w:t>
      </w:r>
      <w:r w:rsidR="00630D17" w:rsidRPr="00B67EC7">
        <w:rPr>
          <w:rFonts w:asciiTheme="majorHAnsi" w:hAnsiTheme="majorHAnsi"/>
          <w:szCs w:val="22"/>
        </w:rPr>
        <w:t xml:space="preserve"> Pubblici</w:t>
      </w:r>
      <w:r w:rsidR="00714635" w:rsidRPr="00B67EC7">
        <w:rPr>
          <w:rFonts w:asciiTheme="majorHAnsi" w:hAnsiTheme="majorHAnsi"/>
          <w:szCs w:val="22"/>
        </w:rPr>
        <w:t xml:space="preserve">, </w:t>
      </w:r>
      <w:r w:rsidR="00630D17" w:rsidRPr="00B67EC7">
        <w:rPr>
          <w:rFonts w:asciiTheme="majorHAnsi" w:hAnsiTheme="majorHAnsi"/>
          <w:szCs w:val="22"/>
        </w:rPr>
        <w:t>i quali</w:t>
      </w:r>
      <w:r w:rsidR="00714635" w:rsidRPr="00B67EC7">
        <w:rPr>
          <w:rFonts w:asciiTheme="majorHAnsi" w:hAnsiTheme="majorHAnsi"/>
          <w:szCs w:val="22"/>
        </w:rPr>
        <w:t xml:space="preserve"> intendono procedere alla s</w:t>
      </w:r>
      <w:r w:rsidR="00630D17" w:rsidRPr="00B67EC7">
        <w:rPr>
          <w:rFonts w:asciiTheme="majorHAnsi" w:hAnsiTheme="majorHAnsi"/>
          <w:szCs w:val="22"/>
        </w:rPr>
        <w:t xml:space="preserve">ottoscrizione di un nuovo </w:t>
      </w:r>
      <w:r w:rsidR="00EB331F" w:rsidRPr="00B67EC7">
        <w:rPr>
          <w:rFonts w:asciiTheme="majorHAnsi" w:hAnsiTheme="majorHAnsi"/>
          <w:szCs w:val="22"/>
        </w:rPr>
        <w:t>accordo pa</w:t>
      </w:r>
      <w:r w:rsidR="00FF240B" w:rsidRPr="00B67EC7">
        <w:rPr>
          <w:rFonts w:asciiTheme="majorHAnsi" w:hAnsiTheme="majorHAnsi"/>
          <w:szCs w:val="22"/>
        </w:rPr>
        <w:t>rasociale (il “</w:t>
      </w:r>
      <w:r w:rsidR="0044197F" w:rsidRPr="00B67EC7">
        <w:rPr>
          <w:rFonts w:asciiTheme="majorHAnsi" w:hAnsiTheme="majorHAnsi"/>
          <w:b/>
          <w:szCs w:val="22"/>
        </w:rPr>
        <w:t>Patto</w:t>
      </w:r>
      <w:r w:rsidR="004F3DC6" w:rsidRPr="00B67EC7">
        <w:rPr>
          <w:rFonts w:asciiTheme="majorHAnsi" w:hAnsiTheme="majorHAnsi"/>
          <w:b/>
          <w:szCs w:val="22"/>
        </w:rPr>
        <w:t>21</w:t>
      </w:r>
      <w:r w:rsidR="00EB331F" w:rsidRPr="00B67EC7">
        <w:rPr>
          <w:rFonts w:asciiTheme="majorHAnsi" w:hAnsiTheme="majorHAnsi"/>
          <w:b/>
          <w:szCs w:val="22"/>
        </w:rPr>
        <w:t>–</w:t>
      </w:r>
      <w:r w:rsidR="00FF240B" w:rsidRPr="00B67EC7">
        <w:rPr>
          <w:rFonts w:asciiTheme="majorHAnsi" w:hAnsiTheme="majorHAnsi"/>
          <w:b/>
          <w:szCs w:val="22"/>
        </w:rPr>
        <w:t>2</w:t>
      </w:r>
      <w:r w:rsidR="004F3DC6" w:rsidRPr="00B67EC7">
        <w:rPr>
          <w:rFonts w:asciiTheme="majorHAnsi" w:hAnsiTheme="majorHAnsi"/>
          <w:b/>
          <w:szCs w:val="22"/>
        </w:rPr>
        <w:t>4</w:t>
      </w:r>
      <w:r w:rsidR="00EB331F" w:rsidRPr="00B67EC7">
        <w:rPr>
          <w:rFonts w:asciiTheme="majorHAnsi" w:hAnsiTheme="majorHAnsi"/>
          <w:szCs w:val="22"/>
        </w:rPr>
        <w:t>” o “</w:t>
      </w:r>
      <w:r w:rsidR="0044197F" w:rsidRPr="00B67EC7">
        <w:rPr>
          <w:rFonts w:asciiTheme="majorHAnsi" w:hAnsiTheme="majorHAnsi"/>
          <w:b/>
          <w:szCs w:val="22"/>
        </w:rPr>
        <w:t>Patto</w:t>
      </w:r>
      <w:r w:rsidR="00EB331F" w:rsidRPr="00B67EC7">
        <w:rPr>
          <w:rFonts w:asciiTheme="majorHAnsi" w:hAnsiTheme="majorHAnsi"/>
          <w:szCs w:val="22"/>
        </w:rPr>
        <w:t>”)</w:t>
      </w:r>
      <w:r w:rsidR="00F86EC6" w:rsidRPr="00B67EC7">
        <w:rPr>
          <w:rFonts w:asciiTheme="majorHAnsi" w:hAnsiTheme="majorHAnsi"/>
          <w:szCs w:val="22"/>
        </w:rPr>
        <w:t>,</w:t>
      </w:r>
      <w:r w:rsidR="00FF240B" w:rsidRPr="00B67EC7">
        <w:rPr>
          <w:rFonts w:asciiTheme="majorHAnsi" w:hAnsiTheme="majorHAnsi"/>
          <w:szCs w:val="22"/>
        </w:rPr>
        <w:t xml:space="preserve">sostanzialmente conforme al </w:t>
      </w:r>
      <w:r w:rsidR="00FE1B90" w:rsidRPr="00B67EC7">
        <w:rPr>
          <w:rFonts w:asciiTheme="majorHAnsi" w:hAnsiTheme="majorHAnsi"/>
          <w:szCs w:val="22"/>
        </w:rPr>
        <w:t>Patto 1</w:t>
      </w:r>
      <w:r w:rsidR="004F3DC6" w:rsidRPr="00B67EC7">
        <w:rPr>
          <w:rFonts w:asciiTheme="majorHAnsi" w:hAnsiTheme="majorHAnsi"/>
          <w:szCs w:val="22"/>
        </w:rPr>
        <w:t>8</w:t>
      </w:r>
      <w:r w:rsidR="00FE1B90" w:rsidRPr="00B67EC7">
        <w:rPr>
          <w:rFonts w:asciiTheme="majorHAnsi" w:hAnsiTheme="majorHAnsi"/>
          <w:szCs w:val="22"/>
        </w:rPr>
        <w:t>-</w:t>
      </w:r>
      <w:r w:rsidR="004F3DC6" w:rsidRPr="00B67EC7">
        <w:rPr>
          <w:rFonts w:asciiTheme="majorHAnsi" w:hAnsiTheme="majorHAnsi"/>
          <w:szCs w:val="22"/>
        </w:rPr>
        <w:t>21</w:t>
      </w:r>
      <w:r w:rsidR="00FF240B" w:rsidRPr="00B67EC7">
        <w:rPr>
          <w:rFonts w:asciiTheme="majorHAnsi" w:hAnsiTheme="majorHAnsi"/>
          <w:szCs w:val="22"/>
        </w:rPr>
        <w:t xml:space="preserve"> ad oggi vigente </w:t>
      </w:r>
      <w:r w:rsidR="004F3DC6" w:rsidRPr="00B67EC7">
        <w:rPr>
          <w:rFonts w:asciiTheme="majorHAnsi" w:hAnsiTheme="majorHAnsi"/>
          <w:szCs w:val="22"/>
        </w:rPr>
        <w:t xml:space="preserve">- </w:t>
      </w:r>
      <w:r w:rsidR="00EF4FE9" w:rsidRPr="00B67EC7">
        <w:rPr>
          <w:rFonts w:asciiTheme="majorHAnsi" w:hAnsiTheme="majorHAnsi"/>
          <w:szCs w:val="22"/>
        </w:rPr>
        <w:t>già</w:t>
      </w:r>
      <w:r w:rsidR="00F55195" w:rsidRPr="00B67EC7">
        <w:rPr>
          <w:rFonts w:asciiTheme="majorHAnsi" w:hAnsiTheme="majorHAnsi"/>
          <w:szCs w:val="22"/>
        </w:rPr>
        <w:t xml:space="preserve"> discusso tra i Sindaci dei S</w:t>
      </w:r>
      <w:r w:rsidR="00EB331F" w:rsidRPr="00B67EC7">
        <w:rPr>
          <w:rFonts w:asciiTheme="majorHAnsi" w:hAnsiTheme="majorHAnsi"/>
          <w:szCs w:val="22"/>
        </w:rPr>
        <w:t>oci Pubblici in sede di Comitato di Sindacato;</w:t>
      </w:r>
    </w:p>
    <w:p w:rsidR="00FE09AE"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8D1058" w:rsidRPr="00B67EC7">
        <w:rPr>
          <w:rFonts w:asciiTheme="majorHAnsi" w:hAnsiTheme="majorHAnsi"/>
          <w:szCs w:val="22"/>
        </w:rPr>
        <w:t>sono state apportate</w:t>
      </w:r>
      <w:r w:rsidR="00FF207E" w:rsidRPr="00B67EC7">
        <w:rPr>
          <w:rFonts w:asciiTheme="majorHAnsi" w:hAnsiTheme="majorHAnsi"/>
          <w:szCs w:val="22"/>
        </w:rPr>
        <w:t xml:space="preserve">nel Patto </w:t>
      </w:r>
      <w:r w:rsidR="00C92D33" w:rsidRPr="00B67EC7">
        <w:rPr>
          <w:rFonts w:asciiTheme="majorHAnsi" w:hAnsiTheme="majorHAnsi"/>
          <w:szCs w:val="22"/>
        </w:rPr>
        <w:t>21-24</w:t>
      </w:r>
      <w:r w:rsidR="00FE09AE" w:rsidRPr="00B67EC7">
        <w:rPr>
          <w:rFonts w:asciiTheme="majorHAnsi" w:hAnsiTheme="majorHAnsi"/>
          <w:szCs w:val="22"/>
        </w:rPr>
        <w:t xml:space="preserve">alcune modifiche </w:t>
      </w:r>
      <w:r w:rsidR="008D1058" w:rsidRPr="00B67EC7">
        <w:rPr>
          <w:rFonts w:asciiTheme="majorHAnsi" w:hAnsiTheme="majorHAnsi"/>
          <w:szCs w:val="22"/>
        </w:rPr>
        <w:t xml:space="preserve">formali di </w:t>
      </w:r>
      <w:r w:rsidR="00FE09AE" w:rsidRPr="00B67EC7">
        <w:rPr>
          <w:rFonts w:asciiTheme="majorHAnsi" w:hAnsiTheme="majorHAnsi"/>
          <w:szCs w:val="22"/>
        </w:rPr>
        <w:t>aggiornamento del testo;</w:t>
      </w:r>
    </w:p>
    <w:p w:rsidR="00630D17"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630D17" w:rsidRPr="00B67EC7">
        <w:rPr>
          <w:rFonts w:asciiTheme="majorHAnsi" w:hAnsiTheme="majorHAnsi"/>
          <w:szCs w:val="22"/>
        </w:rPr>
        <w:t xml:space="preserve">il nuovo testo del </w:t>
      </w:r>
      <w:r w:rsidR="0044197F" w:rsidRPr="00B67EC7">
        <w:rPr>
          <w:rFonts w:asciiTheme="majorHAnsi" w:hAnsiTheme="majorHAnsi"/>
          <w:szCs w:val="22"/>
        </w:rPr>
        <w:t>Patto</w:t>
      </w:r>
      <w:r w:rsidR="00C92D33" w:rsidRPr="00B67EC7">
        <w:rPr>
          <w:rFonts w:asciiTheme="majorHAnsi" w:hAnsiTheme="majorHAnsi"/>
          <w:szCs w:val="22"/>
        </w:rPr>
        <w:t>21-24</w:t>
      </w:r>
      <w:r w:rsidR="003813A3" w:rsidRPr="00B67EC7">
        <w:rPr>
          <w:rFonts w:asciiTheme="majorHAnsi" w:hAnsiTheme="majorHAnsi"/>
          <w:szCs w:val="22"/>
        </w:rPr>
        <w:t>,</w:t>
      </w:r>
      <w:r w:rsidR="00630D17" w:rsidRPr="00B67EC7">
        <w:rPr>
          <w:rFonts w:asciiTheme="majorHAnsi" w:hAnsiTheme="majorHAnsi"/>
          <w:szCs w:val="22"/>
        </w:rPr>
        <w:t xml:space="preserve"> che entrerà in vigore in data 1° luglio </w:t>
      </w:r>
      <w:r w:rsidR="00C92D33" w:rsidRPr="00B67EC7">
        <w:rPr>
          <w:rFonts w:asciiTheme="majorHAnsi" w:hAnsiTheme="majorHAnsi"/>
          <w:szCs w:val="22"/>
        </w:rPr>
        <w:t xml:space="preserve">2021 </w:t>
      </w:r>
      <w:r w:rsidR="00630D17" w:rsidRPr="00B67EC7">
        <w:rPr>
          <w:rFonts w:asciiTheme="majorHAnsi" w:hAnsiTheme="majorHAnsi"/>
          <w:szCs w:val="22"/>
        </w:rPr>
        <w:t>ed avrà una durata triennale</w:t>
      </w:r>
      <w:r w:rsidR="003813A3" w:rsidRPr="00B67EC7">
        <w:rPr>
          <w:rFonts w:asciiTheme="majorHAnsi" w:hAnsiTheme="majorHAnsi"/>
          <w:szCs w:val="22"/>
        </w:rPr>
        <w:t xml:space="preserve"> sino al 30 giugno </w:t>
      </w:r>
      <w:r w:rsidR="00C92D33" w:rsidRPr="00B67EC7">
        <w:rPr>
          <w:rFonts w:asciiTheme="majorHAnsi" w:hAnsiTheme="majorHAnsi"/>
          <w:szCs w:val="22"/>
        </w:rPr>
        <w:t>2024</w:t>
      </w:r>
      <w:r w:rsidR="00630D17" w:rsidRPr="00B67EC7">
        <w:rPr>
          <w:rFonts w:asciiTheme="majorHAnsi" w:hAnsiTheme="majorHAnsi"/>
          <w:szCs w:val="22"/>
        </w:rPr>
        <w:t>, è alleg</w:t>
      </w:r>
      <w:r w:rsidR="006B399F" w:rsidRPr="00B67EC7">
        <w:rPr>
          <w:rFonts w:asciiTheme="majorHAnsi" w:hAnsiTheme="majorHAnsi"/>
          <w:szCs w:val="22"/>
        </w:rPr>
        <w:t xml:space="preserve">ato alla presente deliberazione, </w:t>
      </w:r>
      <w:r w:rsidR="00630D17" w:rsidRPr="00B67EC7">
        <w:rPr>
          <w:rFonts w:asciiTheme="majorHAnsi" w:hAnsiTheme="majorHAnsi"/>
          <w:szCs w:val="22"/>
        </w:rPr>
        <w:t>di cui costituisce parte integrante</w:t>
      </w:r>
      <w:r w:rsidR="00F86EC6" w:rsidRPr="00B67EC7">
        <w:rPr>
          <w:rFonts w:asciiTheme="majorHAnsi" w:hAnsiTheme="majorHAnsi"/>
          <w:szCs w:val="22"/>
        </w:rPr>
        <w:t xml:space="preserve"> e riproduce sostanzialmente il contenuto del Patto 18-21</w:t>
      </w:r>
      <w:r w:rsidR="00823C75" w:rsidRPr="00B67EC7">
        <w:rPr>
          <w:rFonts w:asciiTheme="majorHAnsi" w:hAnsiTheme="majorHAnsi"/>
          <w:szCs w:val="22"/>
        </w:rPr>
        <w:t xml:space="preserve"> (Allegato </w:t>
      </w:r>
      <w:r w:rsidR="003A6CCE" w:rsidRPr="00B67EC7">
        <w:rPr>
          <w:rFonts w:asciiTheme="majorHAnsi" w:hAnsiTheme="majorHAnsi"/>
          <w:szCs w:val="22"/>
        </w:rPr>
        <w:t>A</w:t>
      </w:r>
      <w:r w:rsidR="00823C75" w:rsidRPr="00B67EC7">
        <w:rPr>
          <w:rFonts w:asciiTheme="majorHAnsi" w:hAnsiTheme="majorHAnsi"/>
          <w:szCs w:val="22"/>
        </w:rPr>
        <w:t>)</w:t>
      </w:r>
      <w:r w:rsidR="00827A07" w:rsidRPr="00B67EC7">
        <w:rPr>
          <w:rFonts w:asciiTheme="majorHAnsi" w:hAnsiTheme="majorHAnsi"/>
          <w:szCs w:val="22"/>
        </w:rPr>
        <w:t>;</w:t>
      </w:r>
    </w:p>
    <w:p w:rsidR="000F6868"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0F6868" w:rsidRPr="00B67EC7">
        <w:rPr>
          <w:rFonts w:asciiTheme="majorHAnsi" w:hAnsiTheme="majorHAnsi"/>
          <w:szCs w:val="22"/>
        </w:rPr>
        <w:t xml:space="preserve">al fine di ottimizzare, sotto il profilo dei tempi e dell’efficienza dell’esecuzione, il processo </w:t>
      </w:r>
      <w:r w:rsidR="009355FE" w:rsidRPr="00B67EC7">
        <w:rPr>
          <w:rFonts w:asciiTheme="majorHAnsi" w:hAnsiTheme="majorHAnsi"/>
          <w:szCs w:val="22"/>
        </w:rPr>
        <w:t xml:space="preserve">eventuale </w:t>
      </w:r>
      <w:r w:rsidR="000F6868" w:rsidRPr="00B67EC7">
        <w:rPr>
          <w:rFonts w:asciiTheme="majorHAnsi" w:hAnsiTheme="majorHAnsi"/>
          <w:szCs w:val="22"/>
        </w:rPr>
        <w:t xml:space="preserve">di dismissione di azioni HERA non soggette al Sindacato di Blocco, la cessione delle azioni per quantitativi rilevanti ai sensi del testo del Patto </w:t>
      </w:r>
      <w:r w:rsidR="00C92D33" w:rsidRPr="00B67EC7">
        <w:rPr>
          <w:rFonts w:asciiTheme="majorHAnsi" w:hAnsiTheme="majorHAnsi"/>
          <w:szCs w:val="22"/>
        </w:rPr>
        <w:t>21-24</w:t>
      </w:r>
      <w:r w:rsidR="000F6868" w:rsidRPr="00B67EC7">
        <w:rPr>
          <w:rFonts w:asciiTheme="majorHAnsi" w:hAnsiTheme="majorHAnsi"/>
          <w:szCs w:val="22"/>
        </w:rPr>
        <w:t xml:space="preserve"> potrà avvenire anche mediante collocamento accelerato riservato ad investitori istituzionali, qualificati, professionali (c.d. ABB – </w:t>
      </w:r>
      <w:r w:rsidR="000F6868" w:rsidRPr="00B67EC7">
        <w:rPr>
          <w:rFonts w:asciiTheme="majorHAnsi" w:hAnsiTheme="majorHAnsi"/>
          <w:i/>
          <w:szCs w:val="22"/>
        </w:rPr>
        <w:t>Accelerated Bookbuild Offering</w:t>
      </w:r>
      <w:r w:rsidR="000F6868" w:rsidRPr="00B67EC7">
        <w:rPr>
          <w:rFonts w:asciiTheme="majorHAnsi" w:hAnsiTheme="majorHAnsi"/>
          <w:szCs w:val="22"/>
        </w:rPr>
        <w:t>). Tale collocamento può essere realizzato con differenti modalità –</w:t>
      </w:r>
      <w:r w:rsidR="00545A46" w:rsidRPr="00B67EC7">
        <w:rPr>
          <w:rFonts w:asciiTheme="majorHAnsi" w:hAnsiTheme="majorHAnsi"/>
          <w:szCs w:val="22"/>
        </w:rPr>
        <w:t xml:space="preserve"> in via esemplificativa</w:t>
      </w:r>
      <w:r w:rsidR="000F6868" w:rsidRPr="00B67EC7">
        <w:rPr>
          <w:rFonts w:asciiTheme="majorHAnsi" w:hAnsiTheme="majorHAnsi"/>
          <w:szCs w:val="22"/>
        </w:rPr>
        <w:t>ABB “Best Effort”, ABB “Backstop” e “Bought Deal” – e si concreta in un’operazione rapida e flessibile, riducendo l’esposizione alla volatilità di mercato e con la possibilità di cogliere finestre di mercato più favorevoli. L’attività di collocamento sarà supportata da un consulente finanziario (</w:t>
      </w:r>
      <w:r w:rsidR="000F6868" w:rsidRPr="00B67EC7">
        <w:rPr>
          <w:rFonts w:asciiTheme="majorHAnsi" w:hAnsiTheme="majorHAnsi"/>
          <w:i/>
          <w:szCs w:val="22"/>
        </w:rPr>
        <w:t>investment / financialadvisor</w:t>
      </w:r>
      <w:r w:rsidR="000F6868" w:rsidRPr="00B67EC7">
        <w:rPr>
          <w:rFonts w:asciiTheme="majorHAnsi" w:hAnsiTheme="majorHAnsi"/>
          <w:szCs w:val="22"/>
        </w:rPr>
        <w:t xml:space="preserve">) che </w:t>
      </w:r>
      <w:r w:rsidR="00827A07" w:rsidRPr="00B67EC7">
        <w:rPr>
          <w:rFonts w:asciiTheme="majorHAnsi" w:hAnsiTheme="majorHAnsi"/>
          <w:szCs w:val="22"/>
        </w:rPr>
        <w:t xml:space="preserve">fornirà </w:t>
      </w:r>
      <w:r w:rsidR="000F6868" w:rsidRPr="00B67EC7">
        <w:rPr>
          <w:rFonts w:asciiTheme="majorHAnsi" w:hAnsiTheme="majorHAnsi"/>
          <w:szCs w:val="22"/>
        </w:rPr>
        <w:t>un contributo di natura consulenziale (</w:t>
      </w:r>
      <w:r w:rsidR="000F6868" w:rsidRPr="00B67EC7">
        <w:rPr>
          <w:rFonts w:asciiTheme="majorHAnsi" w:hAnsiTheme="majorHAnsi"/>
          <w:i/>
          <w:szCs w:val="22"/>
        </w:rPr>
        <w:t>investmentadvice</w:t>
      </w:r>
      <w:r w:rsidR="000F6868" w:rsidRPr="00B67EC7">
        <w:rPr>
          <w:rFonts w:asciiTheme="majorHAnsi" w:hAnsiTheme="majorHAnsi"/>
          <w:szCs w:val="22"/>
        </w:rPr>
        <w:t>) preposto a confermare la congruità del prezzo di cessione ai Soci Pubblici venditori e la tempistica dell’operazione. L’attività di collocamento sarà svolta da un soggetto diverso da quello che svolge esclusivamente l’attività di consulente finanziario (</w:t>
      </w:r>
      <w:r w:rsidR="000F6868" w:rsidRPr="00B67EC7">
        <w:rPr>
          <w:rFonts w:asciiTheme="majorHAnsi" w:hAnsiTheme="majorHAnsi"/>
          <w:i/>
          <w:szCs w:val="22"/>
        </w:rPr>
        <w:t>investment / financialadvisor</w:t>
      </w:r>
      <w:r w:rsidR="000F6868" w:rsidRPr="00B67EC7">
        <w:rPr>
          <w:rFonts w:asciiTheme="majorHAnsi" w:hAnsiTheme="majorHAnsi"/>
          <w:szCs w:val="22"/>
        </w:rPr>
        <w:t>);</w:t>
      </w:r>
    </w:p>
    <w:p w:rsidR="000F6868"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0F6868" w:rsidRPr="00B67EC7">
        <w:rPr>
          <w:rFonts w:asciiTheme="majorHAnsi" w:hAnsiTheme="majorHAnsi"/>
          <w:szCs w:val="22"/>
        </w:rPr>
        <w:t xml:space="preserve">la vendita delle azioni HERA, diverse dalle Azioni Bloccate, descritta al punto precedente sarà coordinata per tutti i Soci Pubblici in sede di Comitato di Sindacato o in ambito più ristretto all’interno del medesimo (il Comitato di Sindacato anche in ambito più ristretto </w:t>
      </w:r>
      <w:r w:rsidR="00545A46" w:rsidRPr="00B67EC7">
        <w:rPr>
          <w:rFonts w:asciiTheme="majorHAnsi" w:hAnsiTheme="majorHAnsi"/>
          <w:szCs w:val="22"/>
        </w:rPr>
        <w:t>è</w:t>
      </w:r>
      <w:r w:rsidR="000F6868" w:rsidRPr="00B67EC7">
        <w:rPr>
          <w:rFonts w:asciiTheme="majorHAnsi" w:hAnsiTheme="majorHAnsi"/>
          <w:szCs w:val="22"/>
        </w:rPr>
        <w:t xml:space="preserve"> di seguito definit</w:t>
      </w:r>
      <w:r w:rsidR="00545A46" w:rsidRPr="00B67EC7">
        <w:rPr>
          <w:rFonts w:asciiTheme="majorHAnsi" w:hAnsiTheme="majorHAnsi"/>
          <w:szCs w:val="22"/>
        </w:rPr>
        <w:t>o</w:t>
      </w:r>
      <w:r w:rsidR="000F6868" w:rsidRPr="00B67EC7">
        <w:rPr>
          <w:rFonts w:asciiTheme="majorHAnsi" w:hAnsiTheme="majorHAnsi"/>
          <w:szCs w:val="22"/>
        </w:rPr>
        <w:t xml:space="preserve"> il “</w:t>
      </w:r>
      <w:r w:rsidR="000F6868" w:rsidRPr="00B67EC7">
        <w:rPr>
          <w:rFonts w:asciiTheme="majorHAnsi" w:hAnsiTheme="majorHAnsi"/>
          <w:b/>
          <w:szCs w:val="22"/>
        </w:rPr>
        <w:t>Comitato</w:t>
      </w:r>
      <w:r w:rsidR="000F6868" w:rsidRPr="00B67EC7">
        <w:rPr>
          <w:rFonts w:asciiTheme="majorHAnsi" w:hAnsiTheme="majorHAnsi"/>
          <w:szCs w:val="22"/>
        </w:rPr>
        <w:t>”), potendo agire anche quale stazione appaltante. In tale sede saranno eseguiti i separati processi di selezione ed individuazione dell’</w:t>
      </w:r>
      <w:r w:rsidR="000F6868" w:rsidRPr="00B67EC7">
        <w:rPr>
          <w:rFonts w:asciiTheme="majorHAnsi" w:hAnsiTheme="majorHAnsi"/>
          <w:i/>
          <w:szCs w:val="22"/>
        </w:rPr>
        <w:t>investment / financialadvisor</w:t>
      </w:r>
      <w:r w:rsidR="000F6868" w:rsidRPr="00B67EC7">
        <w:rPr>
          <w:rFonts w:asciiTheme="majorHAnsi" w:hAnsiTheme="majorHAnsi"/>
          <w:szCs w:val="22"/>
        </w:rPr>
        <w:t xml:space="preserve">e del/i collocatore/i per il collocamento attraverso una procedura di selezione comparativa ad inviti. Nell’ambito delle procedure di selezione si terrà conto del criterio dell’offerta economicamente più vantaggiosa e ciò al fine di condurre il processo di selezione al raggiungimento di obiettivi non solo quantitativi ma anche qualitativi. Saranno quindi </w:t>
      </w:r>
      <w:r w:rsidR="000F6868" w:rsidRPr="00B67EC7">
        <w:rPr>
          <w:rFonts w:asciiTheme="majorHAnsi" w:hAnsiTheme="majorHAnsi"/>
          <w:szCs w:val="22"/>
        </w:rPr>
        <w:lastRenderedPageBreak/>
        <w:t>sottoscritti contratti con l’</w:t>
      </w:r>
      <w:r w:rsidR="000F6868" w:rsidRPr="00B67EC7">
        <w:rPr>
          <w:rFonts w:asciiTheme="majorHAnsi" w:hAnsiTheme="majorHAnsi"/>
          <w:i/>
          <w:szCs w:val="22"/>
        </w:rPr>
        <w:t>investment / financialadvisor</w:t>
      </w:r>
      <w:r w:rsidR="000F6868" w:rsidRPr="00B67EC7">
        <w:rPr>
          <w:rFonts w:asciiTheme="majorHAnsi" w:hAnsiTheme="majorHAnsi"/>
          <w:szCs w:val="22"/>
        </w:rPr>
        <w:t>per i servizi di natura consulenziale (</w:t>
      </w:r>
      <w:r w:rsidR="000F6868" w:rsidRPr="00B67EC7">
        <w:rPr>
          <w:rFonts w:asciiTheme="majorHAnsi" w:hAnsiTheme="majorHAnsi"/>
          <w:i/>
          <w:szCs w:val="22"/>
        </w:rPr>
        <w:t>investmentadvice</w:t>
      </w:r>
      <w:r w:rsidR="000F6868" w:rsidRPr="00B67EC7">
        <w:rPr>
          <w:rFonts w:asciiTheme="majorHAnsi" w:hAnsiTheme="majorHAnsi"/>
          <w:szCs w:val="22"/>
        </w:rPr>
        <w:t>) e con il/i collocatore/i per il collocamento (</w:t>
      </w:r>
      <w:r w:rsidR="000F6868" w:rsidRPr="00B67EC7">
        <w:rPr>
          <w:rFonts w:asciiTheme="majorHAnsi" w:hAnsiTheme="majorHAnsi"/>
          <w:i/>
          <w:szCs w:val="22"/>
        </w:rPr>
        <w:t>placement agreement</w:t>
      </w:r>
      <w:r w:rsidR="000F6868" w:rsidRPr="00B67EC7">
        <w:rPr>
          <w:rFonts w:asciiTheme="majorHAnsi" w:hAnsiTheme="majorHAnsi"/>
          <w:szCs w:val="22"/>
        </w:rPr>
        <w:t>) agli investitori istituzionali, qualificati, professionali. Il Comitato definirà anche prezzo, quantità puntuale, modalità e tempistica di lancio di ciascun collocamento di azioni HERA ad investitori istituzionali, qualificati, professionali;</w:t>
      </w:r>
    </w:p>
    <w:p w:rsidR="000F6868"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0F6868" w:rsidRPr="00B67EC7">
        <w:rPr>
          <w:rFonts w:asciiTheme="majorHAnsi" w:hAnsiTheme="majorHAnsi"/>
          <w:szCs w:val="22"/>
        </w:rPr>
        <w:t xml:space="preserve">al fine di garantire adeguata stabilità al titolo HERA, potrà essere richiesta la sottoscrizione di impegni di inalienabilità delle residue azioni HERA detenute dai Soci Pubblici venditori (impegno di </w:t>
      </w:r>
      <w:r w:rsidR="000F6868" w:rsidRPr="00B67EC7">
        <w:rPr>
          <w:rFonts w:asciiTheme="majorHAnsi" w:hAnsiTheme="majorHAnsi"/>
          <w:i/>
          <w:szCs w:val="22"/>
        </w:rPr>
        <w:t>lock up</w:t>
      </w:r>
      <w:r w:rsidR="000F6868" w:rsidRPr="00B67EC7">
        <w:rPr>
          <w:rFonts w:asciiTheme="majorHAnsi" w:hAnsiTheme="majorHAnsi"/>
          <w:szCs w:val="22"/>
        </w:rPr>
        <w:t>) con una durata massima sino a 6 mesi e in linea</w:t>
      </w:r>
      <w:r w:rsidR="003B2862" w:rsidRPr="00B67EC7">
        <w:rPr>
          <w:rFonts w:asciiTheme="majorHAnsi" w:hAnsiTheme="majorHAnsi"/>
          <w:szCs w:val="22"/>
        </w:rPr>
        <w:t xml:space="preserve"> con l’usuale prassi di mercato</w:t>
      </w:r>
      <w:r w:rsidR="00856143" w:rsidRPr="00B67EC7">
        <w:rPr>
          <w:rFonts w:asciiTheme="majorHAnsi" w:hAnsiTheme="majorHAnsi"/>
          <w:szCs w:val="22"/>
        </w:rPr>
        <w:t>;</w:t>
      </w:r>
    </w:p>
    <w:p w:rsidR="007419A9" w:rsidRPr="00B67EC7" w:rsidRDefault="0089087C" w:rsidP="00B67EC7">
      <w:pPr>
        <w:numPr>
          <w:ilvl w:val="0"/>
          <w:numId w:val="1"/>
        </w:numPr>
        <w:spacing w:line="360" w:lineRule="auto"/>
        <w:ind w:left="426" w:hanging="426"/>
        <w:rPr>
          <w:rFonts w:asciiTheme="majorHAnsi" w:hAnsiTheme="majorHAnsi"/>
          <w:szCs w:val="22"/>
        </w:rPr>
      </w:pPr>
      <w:r>
        <w:rPr>
          <w:rFonts w:asciiTheme="majorHAnsi" w:hAnsiTheme="majorHAnsi"/>
          <w:szCs w:val="22"/>
        </w:rPr>
        <w:t xml:space="preserve">che </w:t>
      </w:r>
      <w:r w:rsidR="007419A9" w:rsidRPr="00B67EC7">
        <w:rPr>
          <w:rFonts w:asciiTheme="majorHAnsi" w:hAnsiTheme="majorHAnsi"/>
          <w:szCs w:val="22"/>
        </w:rPr>
        <w:t>al lancio ed alla chiusura del collocamento delle azioni HERA saranno effettuati i relativi comunicati stampa;</w:t>
      </w:r>
    </w:p>
    <w:p w:rsidR="0065715A" w:rsidRDefault="0065715A" w:rsidP="0065715A">
      <w:pPr>
        <w:spacing w:line="360" w:lineRule="auto"/>
        <w:rPr>
          <w:rFonts w:asciiTheme="majorHAnsi" w:hAnsiTheme="majorHAnsi"/>
          <w:szCs w:val="22"/>
        </w:rPr>
      </w:pPr>
    </w:p>
    <w:p w:rsidR="0065715A" w:rsidRPr="0065715A" w:rsidRDefault="0065715A" w:rsidP="0065715A">
      <w:pPr>
        <w:pStyle w:val="Paragrafoelenco"/>
        <w:tabs>
          <w:tab w:val="left" w:pos="426"/>
        </w:tabs>
        <w:spacing w:line="360" w:lineRule="auto"/>
        <w:ind w:left="0"/>
        <w:rPr>
          <w:rFonts w:asciiTheme="majorHAnsi" w:hAnsiTheme="majorHAnsi"/>
          <w:szCs w:val="22"/>
        </w:rPr>
      </w:pPr>
      <w:r w:rsidRPr="0065715A">
        <w:rPr>
          <w:rFonts w:asciiTheme="majorHAnsi" w:hAnsiTheme="majorHAnsi"/>
          <w:b/>
          <w:szCs w:val="22"/>
        </w:rPr>
        <w:t>CONSIDERATO</w:t>
      </w:r>
      <w:r w:rsidRPr="0065715A">
        <w:rPr>
          <w:rFonts w:asciiTheme="majorHAnsi" w:hAnsiTheme="majorHAnsi"/>
          <w:szCs w:val="22"/>
        </w:rPr>
        <w:t xml:space="preserve"> che, “Holding Ferrara Servizi Srl”, società unipersonale del Comune di Ferrara, delibererà – a sua volta - in merito all’approvazione del “Contratto di Sindacato di Voto e di Disciplina dei Trasferimenti Azionari” in senso conforme a quanto espresso dal Consiglio Comunale con la presente deliberazione;</w:t>
      </w:r>
    </w:p>
    <w:p w:rsidR="0065715A" w:rsidRPr="0065715A" w:rsidRDefault="0065715A" w:rsidP="0065715A">
      <w:pPr>
        <w:spacing w:line="360" w:lineRule="auto"/>
        <w:rPr>
          <w:rFonts w:asciiTheme="majorHAnsi" w:hAnsiTheme="majorHAnsi"/>
          <w:szCs w:val="22"/>
        </w:rPr>
      </w:pPr>
    </w:p>
    <w:p w:rsidR="0065715A" w:rsidRPr="0065715A" w:rsidRDefault="0065715A" w:rsidP="0065715A">
      <w:pPr>
        <w:spacing w:line="360" w:lineRule="auto"/>
        <w:rPr>
          <w:rFonts w:asciiTheme="majorHAnsi" w:hAnsiTheme="majorHAnsi"/>
          <w:szCs w:val="22"/>
        </w:rPr>
      </w:pPr>
      <w:r w:rsidRPr="0065715A">
        <w:rPr>
          <w:rFonts w:asciiTheme="majorHAnsi" w:hAnsiTheme="majorHAnsi"/>
          <w:b/>
          <w:szCs w:val="22"/>
        </w:rPr>
        <w:t>VISTI</w:t>
      </w:r>
      <w:r w:rsidRPr="0065715A">
        <w:rPr>
          <w:rFonts w:asciiTheme="majorHAnsi" w:hAnsiTheme="majorHAnsi"/>
          <w:szCs w:val="22"/>
        </w:rPr>
        <w:t xml:space="preserve"> i pareri favorevoli in ordine alla regolarità tecnica e contabile espressi rispettivamente </w:t>
      </w:r>
      <w:r w:rsidR="001B1B03">
        <w:rPr>
          <w:rFonts w:asciiTheme="majorHAnsi" w:hAnsiTheme="majorHAnsi"/>
          <w:szCs w:val="22"/>
        </w:rPr>
        <w:t>dal Direttore Generale Avv. Sandro Mazzatorta</w:t>
      </w:r>
      <w:r w:rsidRPr="0065715A">
        <w:rPr>
          <w:rFonts w:asciiTheme="majorHAnsi" w:hAnsiTheme="majorHAnsi"/>
          <w:szCs w:val="22"/>
        </w:rPr>
        <w:t xml:space="preserve"> e dalla Responsabile del Settore </w:t>
      </w:r>
      <w:r w:rsidR="001B1B03">
        <w:rPr>
          <w:rFonts w:asciiTheme="majorHAnsi" w:hAnsiTheme="majorHAnsi"/>
          <w:szCs w:val="22"/>
        </w:rPr>
        <w:t>Programmazione Finanziaria</w:t>
      </w:r>
      <w:r w:rsidRPr="0065715A">
        <w:rPr>
          <w:rFonts w:asciiTheme="majorHAnsi" w:hAnsiTheme="majorHAnsi"/>
          <w:szCs w:val="22"/>
        </w:rPr>
        <w:t xml:space="preserve"> (art. 49, comma 1, D.Lgs. 267/2000);</w:t>
      </w:r>
    </w:p>
    <w:p w:rsidR="0065715A" w:rsidRPr="0065715A" w:rsidRDefault="0065715A" w:rsidP="0065715A">
      <w:pPr>
        <w:spacing w:line="360" w:lineRule="auto"/>
        <w:outlineLvl w:val="0"/>
        <w:rPr>
          <w:rFonts w:asciiTheme="majorHAnsi" w:hAnsiTheme="majorHAnsi"/>
          <w:szCs w:val="22"/>
        </w:rPr>
      </w:pPr>
    </w:p>
    <w:p w:rsidR="0065715A" w:rsidRPr="0065715A" w:rsidRDefault="0065715A" w:rsidP="0065715A">
      <w:pPr>
        <w:spacing w:line="360" w:lineRule="auto"/>
        <w:outlineLvl w:val="0"/>
        <w:rPr>
          <w:rFonts w:asciiTheme="majorHAnsi" w:hAnsiTheme="majorHAnsi"/>
          <w:szCs w:val="22"/>
        </w:rPr>
      </w:pPr>
      <w:r w:rsidRPr="001B1B03">
        <w:rPr>
          <w:rFonts w:asciiTheme="majorHAnsi" w:hAnsiTheme="majorHAnsi"/>
          <w:b/>
          <w:szCs w:val="22"/>
        </w:rPr>
        <w:t>SENTITE</w:t>
      </w:r>
      <w:r w:rsidRPr="0065715A">
        <w:rPr>
          <w:rFonts w:asciiTheme="majorHAnsi" w:hAnsiTheme="majorHAnsi"/>
          <w:szCs w:val="22"/>
        </w:rPr>
        <w:t xml:space="preserve"> la Giunta Comunale e la Commissione di Controllo dei Servizi Pubblici Locali e sulle Partecipazioni Societarie;</w:t>
      </w:r>
    </w:p>
    <w:p w:rsidR="0065715A" w:rsidRDefault="0065715A" w:rsidP="0065715A">
      <w:pPr>
        <w:spacing w:line="360" w:lineRule="auto"/>
        <w:rPr>
          <w:rFonts w:asciiTheme="majorHAnsi" w:hAnsiTheme="majorHAnsi"/>
          <w:szCs w:val="22"/>
        </w:rPr>
      </w:pPr>
    </w:p>
    <w:p w:rsidR="00041CAF" w:rsidRPr="001B1B03" w:rsidRDefault="00041CAF" w:rsidP="00B67EC7">
      <w:pPr>
        <w:spacing w:line="360" w:lineRule="auto"/>
        <w:ind w:left="360"/>
        <w:jc w:val="center"/>
        <w:rPr>
          <w:rFonts w:asciiTheme="majorHAnsi" w:hAnsiTheme="majorHAnsi"/>
          <w:b/>
          <w:szCs w:val="22"/>
        </w:rPr>
      </w:pPr>
      <w:r w:rsidRPr="001B1B03">
        <w:rPr>
          <w:rFonts w:asciiTheme="majorHAnsi" w:hAnsiTheme="majorHAnsi"/>
          <w:b/>
          <w:szCs w:val="22"/>
        </w:rPr>
        <w:t>DELIBERA</w:t>
      </w:r>
    </w:p>
    <w:p w:rsidR="00041CAF" w:rsidRPr="00B67EC7" w:rsidRDefault="00041CAF" w:rsidP="00B67EC7">
      <w:pPr>
        <w:spacing w:line="360" w:lineRule="auto"/>
        <w:ind w:left="360"/>
        <w:jc w:val="center"/>
        <w:rPr>
          <w:rFonts w:asciiTheme="majorHAnsi" w:hAnsiTheme="majorHAnsi"/>
          <w:szCs w:val="22"/>
        </w:rPr>
      </w:pPr>
    </w:p>
    <w:p w:rsidR="00797C8D" w:rsidRPr="00B67EC7" w:rsidRDefault="001B1B03"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APPROVARE</w:t>
      </w:r>
      <w:r w:rsidR="00797C8D" w:rsidRPr="00B67EC7">
        <w:rPr>
          <w:rFonts w:asciiTheme="majorHAnsi" w:hAnsiTheme="majorHAnsi"/>
          <w:szCs w:val="22"/>
        </w:rPr>
        <w:t>, per le motiva</w:t>
      </w:r>
      <w:r w:rsidR="00695E45" w:rsidRPr="00B67EC7">
        <w:rPr>
          <w:rFonts w:asciiTheme="majorHAnsi" w:hAnsiTheme="majorHAnsi"/>
          <w:szCs w:val="22"/>
        </w:rPr>
        <w:t xml:space="preserve">zioni espresse in premessa, il </w:t>
      </w:r>
      <w:r w:rsidR="0044197F" w:rsidRPr="00B67EC7">
        <w:rPr>
          <w:rFonts w:asciiTheme="majorHAnsi" w:hAnsiTheme="majorHAnsi"/>
          <w:szCs w:val="22"/>
        </w:rPr>
        <w:t>Patto</w:t>
      </w:r>
      <w:r w:rsidR="00C92D33" w:rsidRPr="00B67EC7">
        <w:rPr>
          <w:rFonts w:asciiTheme="majorHAnsi" w:hAnsiTheme="majorHAnsi"/>
          <w:szCs w:val="22"/>
        </w:rPr>
        <w:t>21-24</w:t>
      </w:r>
      <w:r w:rsidR="00797C8D" w:rsidRPr="00B67EC7">
        <w:rPr>
          <w:rFonts w:asciiTheme="majorHAnsi" w:hAnsiTheme="majorHAnsi"/>
          <w:szCs w:val="22"/>
        </w:rPr>
        <w:t xml:space="preserve">e relativi allegati (Allegato 1.2(a): Azionisti Area Territoriale Romagna; Allegato 1.2(b): Azionisti Minori Area di Bologna; Allegato 1.2(c): Azionisti Modena; Allegato 3.1: Azioni detenute dai Contraenti alla data di sottoscrizione del </w:t>
      </w:r>
      <w:r w:rsidR="0044197F" w:rsidRPr="00B67EC7">
        <w:rPr>
          <w:rFonts w:asciiTheme="majorHAnsi" w:hAnsiTheme="majorHAnsi"/>
          <w:szCs w:val="22"/>
        </w:rPr>
        <w:t>Patto</w:t>
      </w:r>
      <w:r w:rsidR="00695E45" w:rsidRPr="00B67EC7">
        <w:rPr>
          <w:rFonts w:asciiTheme="majorHAnsi" w:hAnsiTheme="majorHAnsi"/>
          <w:szCs w:val="22"/>
        </w:rPr>
        <w:t>; Allegato 3.3: Azioni Bloccate</w:t>
      </w:r>
      <w:r w:rsidR="00797C8D" w:rsidRPr="00B67EC7">
        <w:rPr>
          <w:rFonts w:asciiTheme="majorHAnsi" w:hAnsiTheme="majorHAnsi"/>
          <w:szCs w:val="22"/>
        </w:rPr>
        <w:t xml:space="preserve">; Allegato 4.2.2 voti attribuiti a ciascuno dei Soci Principali nell’eventualità in cui ciascuno di essi sottoscriva il </w:t>
      </w:r>
      <w:r w:rsidR="0044197F" w:rsidRPr="00B67EC7">
        <w:rPr>
          <w:rFonts w:asciiTheme="majorHAnsi" w:hAnsiTheme="majorHAnsi"/>
          <w:szCs w:val="22"/>
        </w:rPr>
        <w:t>Patto</w:t>
      </w:r>
      <w:r w:rsidR="00797C8D" w:rsidRPr="00B67EC7">
        <w:rPr>
          <w:rFonts w:asciiTheme="majorHAnsi" w:hAnsiTheme="majorHAnsi"/>
          <w:szCs w:val="22"/>
        </w:rPr>
        <w:t xml:space="preserve">), che costituisce parte integrante della presente deliberazione (Allegato </w:t>
      </w:r>
      <w:r w:rsidR="00695E45" w:rsidRPr="00B67EC7">
        <w:rPr>
          <w:rFonts w:asciiTheme="majorHAnsi" w:hAnsiTheme="majorHAnsi"/>
          <w:szCs w:val="22"/>
        </w:rPr>
        <w:t>A</w:t>
      </w:r>
      <w:r w:rsidR="00797C8D" w:rsidRPr="00B67EC7">
        <w:rPr>
          <w:rFonts w:asciiTheme="majorHAnsi" w:hAnsiTheme="majorHAnsi"/>
          <w:szCs w:val="22"/>
        </w:rPr>
        <w:t>);</w:t>
      </w:r>
    </w:p>
    <w:p w:rsidR="00797C8D" w:rsidRPr="00B67EC7" w:rsidRDefault="00BD6E76"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AUTORIZZARE</w:t>
      </w:r>
      <w:r w:rsidR="00797C8D" w:rsidRPr="00B67EC7">
        <w:rPr>
          <w:rFonts w:asciiTheme="majorHAnsi" w:hAnsiTheme="majorHAnsi"/>
          <w:szCs w:val="22"/>
        </w:rPr>
        <w:t xml:space="preserve"> il Sindaco o un suo delegato a sottoscrivere il </w:t>
      </w:r>
      <w:r w:rsidR="0044197F" w:rsidRPr="00B67EC7">
        <w:rPr>
          <w:rFonts w:asciiTheme="majorHAnsi" w:hAnsiTheme="majorHAnsi"/>
          <w:szCs w:val="22"/>
        </w:rPr>
        <w:t>Patto</w:t>
      </w:r>
      <w:r w:rsidR="00C92D33" w:rsidRPr="00B67EC7">
        <w:rPr>
          <w:rFonts w:asciiTheme="majorHAnsi" w:hAnsiTheme="majorHAnsi"/>
          <w:szCs w:val="22"/>
        </w:rPr>
        <w:t>21-24</w:t>
      </w:r>
      <w:r w:rsidR="00797C8D" w:rsidRPr="00B67EC7">
        <w:rPr>
          <w:rFonts w:asciiTheme="majorHAnsi" w:hAnsiTheme="majorHAnsi"/>
          <w:szCs w:val="22"/>
        </w:rPr>
        <w:t xml:space="preserve">, </w:t>
      </w:r>
      <w:r w:rsidR="00797C8D" w:rsidRPr="00B67EC7">
        <w:rPr>
          <w:rFonts w:asciiTheme="majorHAnsi" w:hAnsiTheme="majorHAnsi"/>
          <w:szCs w:val="22"/>
        </w:rPr>
        <w:lastRenderedPageBreak/>
        <w:t>apportando le eventuali modifiche di natura non sostanziale, che si dovessero rendere necessarie o opportune;</w:t>
      </w:r>
    </w:p>
    <w:p w:rsidR="00BD6E76" w:rsidRPr="00BD6E76" w:rsidRDefault="00BD6E76" w:rsidP="00BD6E76">
      <w:pPr>
        <w:pStyle w:val="Paragrafoelenco"/>
        <w:numPr>
          <w:ilvl w:val="0"/>
          <w:numId w:val="5"/>
        </w:numPr>
        <w:tabs>
          <w:tab w:val="left" w:pos="426"/>
        </w:tabs>
        <w:spacing w:line="360" w:lineRule="auto"/>
        <w:ind w:left="426" w:hanging="426"/>
        <w:rPr>
          <w:rFonts w:asciiTheme="majorHAnsi" w:hAnsiTheme="majorHAnsi"/>
          <w:szCs w:val="22"/>
        </w:rPr>
      </w:pPr>
      <w:r w:rsidRPr="00BD6E76">
        <w:rPr>
          <w:rFonts w:asciiTheme="majorHAnsi" w:hAnsiTheme="majorHAnsi"/>
          <w:szCs w:val="22"/>
        </w:rPr>
        <w:t xml:space="preserve">di </w:t>
      </w:r>
      <w:r w:rsidR="005E193B">
        <w:rPr>
          <w:rFonts w:asciiTheme="majorHAnsi" w:hAnsiTheme="majorHAnsi"/>
          <w:szCs w:val="22"/>
        </w:rPr>
        <w:t>DARE ATTO</w:t>
      </w:r>
      <w:r w:rsidRPr="00BD6E76">
        <w:rPr>
          <w:rFonts w:asciiTheme="majorHAnsi" w:hAnsiTheme="majorHAnsi"/>
          <w:szCs w:val="22"/>
        </w:rPr>
        <w:t xml:space="preserve"> che il Sindaco, in qualità di legale rappresentante del Comune di Ferrara, socio unico della Società “Holding Ferrara Servizi Srl”, relativamente alle azioni di Hera Spa da quest’ultima detenute, in sede di Assemblea dei Soci provvederà ad esprimere il proprio voto in merito all’approvazione del “Contratto di Sindacato di Voto e di Disciplina dei Trasferimenti Azionari</w:t>
      </w:r>
      <w:r>
        <w:rPr>
          <w:rFonts w:asciiTheme="majorHAnsi" w:hAnsiTheme="majorHAnsi"/>
          <w:szCs w:val="22"/>
        </w:rPr>
        <w:t xml:space="preserve"> (Patto 21-24)</w:t>
      </w:r>
      <w:r w:rsidRPr="00BD6E76">
        <w:rPr>
          <w:rFonts w:asciiTheme="majorHAnsi" w:hAnsiTheme="majorHAnsi"/>
          <w:szCs w:val="22"/>
        </w:rPr>
        <w:t xml:space="preserve"> di cui al punto 1;</w:t>
      </w:r>
    </w:p>
    <w:p w:rsidR="00797C8D" w:rsidRPr="00B67EC7" w:rsidRDefault="00BD6E76"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PRENDERE ATTO</w:t>
      </w:r>
      <w:r w:rsidR="00797C8D" w:rsidRPr="00B67EC7">
        <w:rPr>
          <w:rFonts w:asciiTheme="majorHAnsi" w:hAnsiTheme="majorHAnsi"/>
          <w:szCs w:val="22"/>
        </w:rPr>
        <w:t xml:space="preserve"> che, ai sensi dell</w:t>
      </w:r>
      <w:r w:rsidR="005163CC" w:rsidRPr="00B67EC7">
        <w:rPr>
          <w:rFonts w:asciiTheme="majorHAnsi" w:hAnsiTheme="majorHAnsi"/>
          <w:szCs w:val="22"/>
        </w:rPr>
        <w:t>’</w:t>
      </w:r>
      <w:r w:rsidR="00797C8D" w:rsidRPr="00B67EC7">
        <w:rPr>
          <w:rFonts w:asciiTheme="majorHAnsi" w:hAnsiTheme="majorHAnsi"/>
          <w:szCs w:val="22"/>
        </w:rPr>
        <w:t xml:space="preserve">Allegato 3.3 del </w:t>
      </w:r>
      <w:r w:rsidR="0044197F" w:rsidRPr="00B67EC7">
        <w:rPr>
          <w:rFonts w:asciiTheme="majorHAnsi" w:hAnsiTheme="majorHAnsi"/>
          <w:szCs w:val="22"/>
        </w:rPr>
        <w:t>Patto</w:t>
      </w:r>
      <w:r w:rsidR="00B4387B" w:rsidRPr="00B67EC7">
        <w:rPr>
          <w:rFonts w:asciiTheme="majorHAnsi" w:hAnsiTheme="majorHAnsi"/>
          <w:szCs w:val="22"/>
        </w:rPr>
        <w:t xml:space="preserve"> 21-24</w:t>
      </w:r>
      <w:r w:rsidR="00797C8D" w:rsidRPr="00B67EC7">
        <w:rPr>
          <w:rFonts w:asciiTheme="majorHAnsi" w:hAnsiTheme="majorHAnsi"/>
          <w:szCs w:val="22"/>
        </w:rPr>
        <w:t>, allegato al presente provvedimento quale pa</w:t>
      </w:r>
      <w:r w:rsidR="005163CC" w:rsidRPr="00B67EC7">
        <w:rPr>
          <w:rFonts w:asciiTheme="majorHAnsi" w:hAnsiTheme="majorHAnsi"/>
          <w:szCs w:val="22"/>
        </w:rPr>
        <w:t>rte integrante (infra Allegato A</w:t>
      </w:r>
      <w:r w:rsidR="00797C8D" w:rsidRPr="00B67EC7">
        <w:rPr>
          <w:rFonts w:asciiTheme="majorHAnsi" w:hAnsiTheme="majorHAnsi"/>
          <w:szCs w:val="22"/>
        </w:rPr>
        <w:t xml:space="preserve">), il Comune </w:t>
      </w:r>
      <w:r>
        <w:rPr>
          <w:rFonts w:asciiTheme="majorHAnsi" w:hAnsiTheme="majorHAnsi"/>
          <w:szCs w:val="22"/>
        </w:rPr>
        <w:t xml:space="preserve">di Ferrara </w:t>
      </w:r>
      <w:r w:rsidR="00797C8D" w:rsidRPr="00B67EC7">
        <w:rPr>
          <w:rFonts w:asciiTheme="majorHAnsi" w:hAnsiTheme="majorHAnsi"/>
          <w:szCs w:val="22"/>
        </w:rPr>
        <w:t xml:space="preserve">con la sottoscrizione del </w:t>
      </w:r>
      <w:r w:rsidR="0044197F" w:rsidRPr="00B67EC7">
        <w:rPr>
          <w:rFonts w:asciiTheme="majorHAnsi" w:hAnsiTheme="majorHAnsi"/>
          <w:szCs w:val="22"/>
        </w:rPr>
        <w:t>Patto</w:t>
      </w:r>
      <w:r w:rsidR="00797C8D" w:rsidRPr="00B67EC7">
        <w:rPr>
          <w:rFonts w:asciiTheme="majorHAnsi" w:hAnsiTheme="majorHAnsi"/>
          <w:szCs w:val="22"/>
        </w:rPr>
        <w:t xml:space="preserve"> di cui trattasi, assoggetta al </w:t>
      </w:r>
      <w:r w:rsidR="000A33BD" w:rsidRPr="00B67EC7">
        <w:rPr>
          <w:rFonts w:asciiTheme="majorHAnsi" w:hAnsiTheme="majorHAnsi"/>
          <w:szCs w:val="22"/>
        </w:rPr>
        <w:t>Sindacato di B</w:t>
      </w:r>
      <w:r w:rsidR="00797C8D" w:rsidRPr="00B67EC7">
        <w:rPr>
          <w:rFonts w:asciiTheme="majorHAnsi" w:hAnsiTheme="majorHAnsi"/>
          <w:szCs w:val="22"/>
        </w:rPr>
        <w:t xml:space="preserve">locco ai sensi degli artt. 3.3, 3.4 e 11 del </w:t>
      </w:r>
      <w:r w:rsidR="0044197F" w:rsidRPr="00B67EC7">
        <w:rPr>
          <w:rFonts w:asciiTheme="majorHAnsi" w:hAnsiTheme="majorHAnsi"/>
          <w:szCs w:val="22"/>
        </w:rPr>
        <w:t>Patto</w:t>
      </w:r>
      <w:r w:rsidR="00797C8D" w:rsidRPr="00B67EC7">
        <w:rPr>
          <w:rFonts w:asciiTheme="majorHAnsi" w:hAnsiTheme="majorHAnsi"/>
          <w:szCs w:val="22"/>
        </w:rPr>
        <w:t xml:space="preserve"> medesimo</w:t>
      </w:r>
      <w:r w:rsidR="000A0219" w:rsidRPr="00B67EC7">
        <w:rPr>
          <w:rFonts w:asciiTheme="majorHAnsi" w:hAnsiTheme="majorHAnsi"/>
          <w:szCs w:val="22"/>
        </w:rPr>
        <w:t xml:space="preserve"> -</w:t>
      </w:r>
      <w:r w:rsidR="00797C8D" w:rsidRPr="00B67EC7">
        <w:rPr>
          <w:rFonts w:asciiTheme="majorHAnsi" w:hAnsiTheme="majorHAnsi"/>
          <w:szCs w:val="22"/>
        </w:rPr>
        <w:t xml:space="preserve"> facendo salva la facoltà di trasferire le </w:t>
      </w:r>
      <w:r w:rsidR="000A0219" w:rsidRPr="00B67EC7">
        <w:rPr>
          <w:rFonts w:asciiTheme="majorHAnsi" w:hAnsiTheme="majorHAnsi"/>
          <w:szCs w:val="22"/>
        </w:rPr>
        <w:t>A</w:t>
      </w:r>
      <w:r w:rsidR="00797C8D" w:rsidRPr="00B67EC7">
        <w:rPr>
          <w:rFonts w:asciiTheme="majorHAnsi" w:hAnsiTheme="majorHAnsi"/>
          <w:szCs w:val="22"/>
        </w:rPr>
        <w:t xml:space="preserve">zioni </w:t>
      </w:r>
      <w:r w:rsidR="000A0219" w:rsidRPr="00B67EC7">
        <w:rPr>
          <w:rFonts w:asciiTheme="majorHAnsi" w:hAnsiTheme="majorHAnsi"/>
          <w:szCs w:val="22"/>
        </w:rPr>
        <w:t>B</w:t>
      </w:r>
      <w:r w:rsidR="00797C8D" w:rsidRPr="00B67EC7">
        <w:rPr>
          <w:rFonts w:asciiTheme="majorHAnsi" w:hAnsiTheme="majorHAnsi"/>
          <w:szCs w:val="22"/>
        </w:rPr>
        <w:t xml:space="preserve">loccate a soci pubblici ai sensi dell’art. 11.4 </w:t>
      </w:r>
      <w:r w:rsidR="006C72B4" w:rsidRPr="00B67EC7">
        <w:rPr>
          <w:rFonts w:asciiTheme="majorHAnsi" w:hAnsiTheme="majorHAnsi"/>
          <w:szCs w:val="22"/>
        </w:rPr>
        <w:t xml:space="preserve">del </w:t>
      </w:r>
      <w:r w:rsidR="0044197F" w:rsidRPr="00B67EC7">
        <w:rPr>
          <w:rFonts w:asciiTheme="majorHAnsi" w:hAnsiTheme="majorHAnsi"/>
          <w:szCs w:val="22"/>
        </w:rPr>
        <w:t>Patto</w:t>
      </w:r>
      <w:r w:rsidR="000A0219" w:rsidRPr="00B67EC7">
        <w:rPr>
          <w:rFonts w:asciiTheme="majorHAnsi" w:hAnsiTheme="majorHAnsi"/>
          <w:szCs w:val="22"/>
        </w:rPr>
        <w:t xml:space="preserve"> nonché ai sensi dell’art. 12.1 del Patto -</w:t>
      </w:r>
      <w:r w:rsidR="00797C8D" w:rsidRPr="00B67EC7">
        <w:rPr>
          <w:rFonts w:asciiTheme="majorHAnsi" w:hAnsiTheme="majorHAnsi"/>
          <w:szCs w:val="22"/>
        </w:rPr>
        <w:t xml:space="preserve"> e pertanto a vincolo di non trasferibilità, parte delle azioni di proprietà del Comune per gli ammontari ivi indicati;</w:t>
      </w:r>
    </w:p>
    <w:p w:rsidR="00797C8D" w:rsidRPr="00B67EC7" w:rsidRDefault="0091024A"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PRENDERE ATTO</w:t>
      </w:r>
      <w:r w:rsidR="00797C8D" w:rsidRPr="00B67EC7">
        <w:rPr>
          <w:rFonts w:asciiTheme="majorHAnsi" w:hAnsiTheme="majorHAnsi"/>
          <w:szCs w:val="22"/>
        </w:rPr>
        <w:t>che il numero complessivo delle azioni HERA di proprietà pubblica vincolate, indicat</w:t>
      </w:r>
      <w:r w:rsidR="008361AB" w:rsidRPr="00B67EC7">
        <w:rPr>
          <w:rFonts w:asciiTheme="majorHAnsi" w:hAnsiTheme="majorHAnsi"/>
          <w:szCs w:val="22"/>
        </w:rPr>
        <w:t>e nell’</w:t>
      </w:r>
      <w:r w:rsidR="00797C8D" w:rsidRPr="00B67EC7">
        <w:rPr>
          <w:rFonts w:asciiTheme="majorHAnsi" w:hAnsiTheme="majorHAnsi"/>
          <w:szCs w:val="22"/>
        </w:rPr>
        <w:t xml:space="preserve">Allegato 3.3, sarà determinato con esattezza soltanto ad avvenuta sottoscrizione del </w:t>
      </w:r>
      <w:r w:rsidR="0044197F" w:rsidRPr="00B67EC7">
        <w:rPr>
          <w:rFonts w:asciiTheme="majorHAnsi" w:hAnsiTheme="majorHAnsi"/>
          <w:szCs w:val="22"/>
        </w:rPr>
        <w:t>Patto</w:t>
      </w:r>
      <w:r w:rsidR="00C92D33" w:rsidRPr="00B67EC7">
        <w:rPr>
          <w:rFonts w:asciiTheme="majorHAnsi" w:hAnsiTheme="majorHAnsi"/>
          <w:szCs w:val="22"/>
        </w:rPr>
        <w:t>21-24</w:t>
      </w:r>
      <w:r w:rsidR="00797C8D" w:rsidRPr="00B67EC7">
        <w:rPr>
          <w:rFonts w:asciiTheme="majorHAnsi" w:hAnsiTheme="majorHAnsi"/>
          <w:szCs w:val="22"/>
        </w:rPr>
        <w:t xml:space="preserve"> da parte di tutti gli aderenti;</w:t>
      </w:r>
    </w:p>
    <w:p w:rsidR="00797C8D" w:rsidRPr="00B67EC7" w:rsidRDefault="0091024A"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APPROVARE</w:t>
      </w:r>
      <w:r>
        <w:rPr>
          <w:rFonts w:asciiTheme="majorHAnsi" w:hAnsiTheme="majorHAnsi"/>
          <w:szCs w:val="22"/>
        </w:rPr>
        <w:t>le modalità di</w:t>
      </w:r>
      <w:r w:rsidR="00797C8D" w:rsidRPr="00B67EC7">
        <w:rPr>
          <w:rFonts w:asciiTheme="majorHAnsi" w:hAnsiTheme="majorHAnsi"/>
          <w:szCs w:val="22"/>
        </w:rPr>
        <w:t xml:space="preserve"> dismissione di azioni HERA nel numero massimo di azioni HERA non soggette al Sindaca</w:t>
      </w:r>
      <w:r w:rsidR="00473109" w:rsidRPr="00B67EC7">
        <w:rPr>
          <w:rFonts w:asciiTheme="majorHAnsi" w:hAnsiTheme="majorHAnsi"/>
          <w:szCs w:val="22"/>
        </w:rPr>
        <w:t>to di Blocco come indicato nell’</w:t>
      </w:r>
      <w:r w:rsidR="00797C8D" w:rsidRPr="00B67EC7">
        <w:rPr>
          <w:rFonts w:asciiTheme="majorHAnsi" w:hAnsiTheme="majorHAnsi"/>
          <w:szCs w:val="22"/>
        </w:rPr>
        <w:t xml:space="preserve">Allegato 3.3 del </w:t>
      </w:r>
      <w:r w:rsidR="00FE1B90" w:rsidRPr="00B67EC7">
        <w:rPr>
          <w:rFonts w:asciiTheme="majorHAnsi" w:hAnsiTheme="majorHAnsi"/>
          <w:szCs w:val="22"/>
        </w:rPr>
        <w:t xml:space="preserve">Patto </w:t>
      </w:r>
      <w:r w:rsidR="00C92D33" w:rsidRPr="00B67EC7">
        <w:rPr>
          <w:rFonts w:asciiTheme="majorHAnsi" w:hAnsiTheme="majorHAnsi"/>
          <w:szCs w:val="22"/>
        </w:rPr>
        <w:t>21-24</w:t>
      </w:r>
      <w:r>
        <w:rPr>
          <w:rFonts w:asciiTheme="majorHAnsi" w:hAnsiTheme="majorHAnsi"/>
          <w:szCs w:val="22"/>
        </w:rPr>
        <w:t xml:space="preserve">; in particolare prevedendo </w:t>
      </w:r>
      <w:r w:rsidR="00797C8D" w:rsidRPr="00B67EC7">
        <w:rPr>
          <w:rFonts w:asciiTheme="majorHAnsi" w:hAnsiTheme="majorHAnsi"/>
          <w:szCs w:val="22"/>
        </w:rPr>
        <w:t>il trasferimento delle stesse da parte del Comune di</w:t>
      </w:r>
      <w:r>
        <w:rPr>
          <w:rFonts w:asciiTheme="majorHAnsi" w:hAnsiTheme="majorHAnsi"/>
          <w:szCs w:val="22"/>
        </w:rPr>
        <w:t xml:space="preserve"> Ferrara</w:t>
      </w:r>
      <w:r w:rsidR="00797C8D" w:rsidRPr="00B67EC7">
        <w:rPr>
          <w:rFonts w:asciiTheme="majorHAnsi" w:hAnsiTheme="majorHAnsi"/>
          <w:szCs w:val="22"/>
        </w:rPr>
        <w:t xml:space="preserve">, in una o più volte, e, comunque, nel rispetto delle modalità e termini previsti nel </w:t>
      </w:r>
      <w:r w:rsidR="008575EC" w:rsidRPr="00B67EC7">
        <w:rPr>
          <w:rFonts w:asciiTheme="majorHAnsi" w:hAnsiTheme="majorHAnsi"/>
          <w:szCs w:val="22"/>
        </w:rPr>
        <w:t xml:space="preserve">Patto </w:t>
      </w:r>
      <w:r w:rsidR="00C92D33" w:rsidRPr="00B67EC7">
        <w:rPr>
          <w:rFonts w:asciiTheme="majorHAnsi" w:hAnsiTheme="majorHAnsi"/>
          <w:szCs w:val="22"/>
        </w:rPr>
        <w:t>21-24</w:t>
      </w:r>
      <w:r w:rsidR="00797C8D" w:rsidRPr="00B67EC7">
        <w:rPr>
          <w:rFonts w:asciiTheme="majorHAnsi" w:hAnsiTheme="majorHAnsi"/>
          <w:szCs w:val="22"/>
        </w:rPr>
        <w:t>medesimo ed, in particolare,</w:t>
      </w:r>
      <w:r w:rsidR="008575EC" w:rsidRPr="00B67EC7">
        <w:rPr>
          <w:rFonts w:asciiTheme="majorHAnsi" w:hAnsiTheme="majorHAnsi"/>
          <w:szCs w:val="22"/>
        </w:rPr>
        <w:t xml:space="preserve"> di quanto</w:t>
      </w:r>
      <w:r w:rsidR="00797C8D" w:rsidRPr="00B67EC7">
        <w:rPr>
          <w:rFonts w:asciiTheme="majorHAnsi" w:hAnsiTheme="majorHAnsi"/>
          <w:szCs w:val="22"/>
        </w:rPr>
        <w:t xml:space="preserve"> indicat</w:t>
      </w:r>
      <w:r w:rsidR="008575EC" w:rsidRPr="00B67EC7">
        <w:rPr>
          <w:rFonts w:asciiTheme="majorHAnsi" w:hAnsiTheme="majorHAnsi"/>
          <w:szCs w:val="22"/>
        </w:rPr>
        <w:t>o</w:t>
      </w:r>
      <w:r w:rsidR="00797C8D" w:rsidRPr="00B67EC7">
        <w:rPr>
          <w:rFonts w:asciiTheme="majorHAnsi" w:hAnsiTheme="majorHAnsi"/>
          <w:szCs w:val="22"/>
        </w:rPr>
        <w:t xml:space="preserve"> all’art. 12 del </w:t>
      </w:r>
      <w:r w:rsidR="0044197F" w:rsidRPr="00B67EC7">
        <w:rPr>
          <w:rFonts w:asciiTheme="majorHAnsi" w:hAnsiTheme="majorHAnsi"/>
          <w:szCs w:val="22"/>
        </w:rPr>
        <w:t>Patto</w:t>
      </w:r>
      <w:r w:rsidR="009F50B0" w:rsidRPr="00B67EC7">
        <w:rPr>
          <w:rFonts w:asciiTheme="majorHAnsi" w:hAnsiTheme="majorHAnsi"/>
          <w:szCs w:val="22"/>
        </w:rPr>
        <w:t xml:space="preserve">e </w:t>
      </w:r>
      <w:r w:rsidR="00797C8D" w:rsidRPr="00B67EC7">
        <w:rPr>
          <w:rFonts w:asciiTheme="majorHAnsi" w:hAnsiTheme="majorHAnsi"/>
          <w:szCs w:val="22"/>
        </w:rPr>
        <w:t>a prezzo</w:t>
      </w:r>
      <w:r w:rsidR="008575EC" w:rsidRPr="00B67EC7">
        <w:rPr>
          <w:rFonts w:asciiTheme="majorHAnsi" w:hAnsiTheme="majorHAnsi"/>
          <w:szCs w:val="22"/>
        </w:rPr>
        <w:t xml:space="preserve"> congruo rispetto al periodo in cui la dismissione delle azioni HERA è realizzata</w:t>
      </w:r>
      <w:bookmarkStart w:id="0" w:name="_GoBack"/>
      <w:bookmarkEnd w:id="0"/>
      <w:r w:rsidR="002B399C" w:rsidRPr="00B67EC7">
        <w:rPr>
          <w:rFonts w:asciiTheme="majorHAnsi" w:hAnsiTheme="majorHAnsi"/>
          <w:szCs w:val="22"/>
        </w:rPr>
        <w:t>;</w:t>
      </w:r>
    </w:p>
    <w:p w:rsidR="00797C8D" w:rsidRPr="00B67EC7" w:rsidRDefault="00C90E22" w:rsidP="001B1B03">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STABILIRE</w:t>
      </w:r>
      <w:r w:rsidR="00797C8D" w:rsidRPr="00B67EC7">
        <w:rPr>
          <w:rFonts w:asciiTheme="majorHAnsi" w:hAnsiTheme="majorHAnsi"/>
          <w:szCs w:val="22"/>
        </w:rPr>
        <w:t>ch</w:t>
      </w:r>
      <w:r>
        <w:rPr>
          <w:rFonts w:asciiTheme="majorHAnsi" w:hAnsiTheme="majorHAnsi"/>
          <w:szCs w:val="22"/>
        </w:rPr>
        <w:t>e,</w:t>
      </w:r>
      <w:r w:rsidRPr="00B67EC7">
        <w:rPr>
          <w:rFonts w:asciiTheme="majorHAnsi" w:hAnsiTheme="majorHAnsi"/>
          <w:szCs w:val="22"/>
        </w:rPr>
        <w:t xml:space="preserve">ai sensi dell’art. 12.2.1 del Patto 21-24, </w:t>
      </w:r>
      <w:r w:rsidR="00797C8D" w:rsidRPr="00B67EC7">
        <w:rPr>
          <w:rFonts w:asciiTheme="majorHAnsi" w:hAnsiTheme="majorHAnsi"/>
          <w:szCs w:val="22"/>
        </w:rPr>
        <w:t>la cessione delle azioni HERA, per quantitativi</w:t>
      </w:r>
      <w:r w:rsidR="0083415D" w:rsidRPr="00B67EC7">
        <w:rPr>
          <w:rFonts w:asciiTheme="majorHAnsi" w:hAnsiTheme="majorHAnsi"/>
          <w:szCs w:val="22"/>
        </w:rPr>
        <w:t xml:space="preserve"> superioria numero 10.000.000,</w:t>
      </w:r>
      <w:r w:rsidR="00797C8D" w:rsidRPr="00B67EC7">
        <w:rPr>
          <w:rFonts w:asciiTheme="majorHAnsi" w:hAnsiTheme="majorHAnsi"/>
          <w:szCs w:val="22"/>
        </w:rPr>
        <w:t xml:space="preserve"> dovrà essere coordinata dal Comitato di Sindacato mediante </w:t>
      </w:r>
      <w:r w:rsidR="0083415D" w:rsidRPr="00B67EC7">
        <w:rPr>
          <w:rFonts w:asciiTheme="majorHAnsi" w:hAnsiTheme="majorHAnsi"/>
          <w:szCs w:val="22"/>
        </w:rPr>
        <w:t xml:space="preserve">modalità di vendita con </w:t>
      </w:r>
      <w:r w:rsidR="00797C8D" w:rsidRPr="00B67EC7">
        <w:rPr>
          <w:rFonts w:asciiTheme="majorHAnsi" w:hAnsiTheme="majorHAnsi"/>
          <w:szCs w:val="22"/>
        </w:rPr>
        <w:t>collocament</w:t>
      </w:r>
      <w:r w:rsidR="0083415D" w:rsidRPr="00B67EC7">
        <w:rPr>
          <w:rFonts w:asciiTheme="majorHAnsi" w:hAnsiTheme="majorHAnsi"/>
          <w:szCs w:val="22"/>
        </w:rPr>
        <w:t>o in una singola operazione</w:t>
      </w:r>
      <w:r w:rsidR="00797C8D" w:rsidRPr="00B67EC7">
        <w:rPr>
          <w:rFonts w:asciiTheme="majorHAnsi" w:hAnsiTheme="majorHAnsi"/>
          <w:szCs w:val="22"/>
        </w:rPr>
        <w:t>, anche</w:t>
      </w:r>
      <w:r w:rsidR="003F4B09" w:rsidRPr="00B67EC7">
        <w:rPr>
          <w:rFonts w:asciiTheme="majorHAnsi" w:hAnsiTheme="majorHAnsi"/>
          <w:szCs w:val="22"/>
        </w:rPr>
        <w:t xml:space="preserve"> mediante collocamento</w:t>
      </w:r>
      <w:r w:rsidR="00797C8D" w:rsidRPr="00B67EC7">
        <w:rPr>
          <w:rFonts w:asciiTheme="majorHAnsi" w:hAnsiTheme="majorHAnsi"/>
          <w:szCs w:val="22"/>
        </w:rPr>
        <w:t xml:space="preserve"> accelerat</w:t>
      </w:r>
      <w:r w:rsidR="003F4B09" w:rsidRPr="00B67EC7">
        <w:rPr>
          <w:rFonts w:asciiTheme="majorHAnsi" w:hAnsiTheme="majorHAnsi"/>
          <w:szCs w:val="22"/>
        </w:rPr>
        <w:t>o</w:t>
      </w:r>
      <w:r w:rsidR="00797C8D" w:rsidRPr="00B67EC7">
        <w:rPr>
          <w:rFonts w:asciiTheme="majorHAnsi" w:hAnsiTheme="majorHAnsi"/>
          <w:szCs w:val="22"/>
        </w:rPr>
        <w:t xml:space="preserve"> riservat</w:t>
      </w:r>
      <w:r w:rsidR="003F4B09" w:rsidRPr="00B67EC7">
        <w:rPr>
          <w:rFonts w:asciiTheme="majorHAnsi" w:hAnsiTheme="majorHAnsi"/>
          <w:szCs w:val="22"/>
        </w:rPr>
        <w:t>o</w:t>
      </w:r>
      <w:r w:rsidR="00797C8D" w:rsidRPr="00B67EC7">
        <w:rPr>
          <w:rFonts w:asciiTheme="majorHAnsi" w:hAnsiTheme="majorHAnsi"/>
          <w:szCs w:val="22"/>
        </w:rPr>
        <w:t xml:space="preserve"> ad investitori istituzionali</w:t>
      </w:r>
      <w:r w:rsidR="003F4B09" w:rsidRPr="00B67EC7">
        <w:rPr>
          <w:rFonts w:asciiTheme="majorHAnsi" w:hAnsiTheme="majorHAnsi"/>
          <w:szCs w:val="22"/>
        </w:rPr>
        <w:t>, qualificati,</w:t>
      </w:r>
      <w:r w:rsidR="00797C8D" w:rsidRPr="00B67EC7">
        <w:rPr>
          <w:rFonts w:asciiTheme="majorHAnsi" w:hAnsiTheme="majorHAnsi"/>
          <w:szCs w:val="22"/>
        </w:rPr>
        <w:t xml:space="preserve"> professionali;</w:t>
      </w:r>
    </w:p>
    <w:p w:rsidR="00797C8D" w:rsidRPr="00C90E22" w:rsidRDefault="00C90E22" w:rsidP="00C90E22">
      <w:pPr>
        <w:pStyle w:val="Paragrafoelenco"/>
        <w:numPr>
          <w:ilvl w:val="0"/>
          <w:numId w:val="5"/>
        </w:numPr>
        <w:spacing w:line="360" w:lineRule="auto"/>
        <w:ind w:left="426"/>
        <w:rPr>
          <w:rFonts w:asciiTheme="majorHAnsi" w:hAnsiTheme="majorHAnsi"/>
          <w:szCs w:val="22"/>
        </w:rPr>
      </w:pPr>
      <w:r w:rsidRPr="00C90E22">
        <w:rPr>
          <w:rFonts w:asciiTheme="majorHAnsi" w:hAnsiTheme="majorHAnsi"/>
          <w:szCs w:val="22"/>
        </w:rPr>
        <w:t xml:space="preserve">di </w:t>
      </w:r>
      <w:r w:rsidR="005E193B" w:rsidRPr="00C90E22">
        <w:rPr>
          <w:rFonts w:asciiTheme="majorHAnsi" w:hAnsiTheme="majorHAnsi"/>
          <w:szCs w:val="22"/>
        </w:rPr>
        <w:t xml:space="preserve">DARE ATTO </w:t>
      </w:r>
      <w:r w:rsidRPr="00C90E22">
        <w:rPr>
          <w:rFonts w:asciiTheme="majorHAnsi" w:hAnsiTheme="majorHAnsi"/>
          <w:szCs w:val="22"/>
        </w:rPr>
        <w:t>che “Holding Ferrara Servizi Srl”, società unipersonale del Comune di Ferrara, delibererà – a sua volta - in merito all’approvazione del “Contratto di Sindacato di Voto e di Disciplina dei Trasferimenti Azionari” in senso conforme a quanto espresso dal Consiglio Comunale con la presente deliberazione</w:t>
      </w:r>
      <w:r>
        <w:rPr>
          <w:rFonts w:asciiTheme="majorHAnsi" w:hAnsiTheme="majorHAnsi"/>
          <w:szCs w:val="22"/>
        </w:rPr>
        <w:t>;</w:t>
      </w:r>
    </w:p>
    <w:p w:rsidR="00797C8D" w:rsidRPr="00B67EC7" w:rsidRDefault="00C90E22" w:rsidP="00C90E22">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AUTORIZZARE</w:t>
      </w:r>
      <w:r w:rsidR="00797C8D" w:rsidRPr="00B67EC7">
        <w:rPr>
          <w:rFonts w:asciiTheme="majorHAnsi" w:hAnsiTheme="majorHAnsi"/>
          <w:szCs w:val="22"/>
        </w:rPr>
        <w:t xml:space="preserve"> il Sindaco o un suo delegato a determinare il numero massimo di azioni HERA da porre</w:t>
      </w:r>
      <w:r w:rsidR="000432F5" w:rsidRPr="00B67EC7">
        <w:rPr>
          <w:rFonts w:asciiTheme="majorHAnsi" w:hAnsiTheme="majorHAnsi"/>
          <w:szCs w:val="22"/>
        </w:rPr>
        <w:t xml:space="preserve"> di volta in volta</w:t>
      </w:r>
      <w:r w:rsidR="00797C8D" w:rsidRPr="00B67EC7">
        <w:rPr>
          <w:rFonts w:asciiTheme="majorHAnsi" w:hAnsiTheme="majorHAnsi"/>
          <w:szCs w:val="22"/>
        </w:rPr>
        <w:t xml:space="preserve"> in vendita nonché a darne comunicazione al </w:t>
      </w:r>
      <w:r w:rsidR="00797C8D" w:rsidRPr="00B67EC7">
        <w:rPr>
          <w:rFonts w:asciiTheme="majorHAnsi" w:hAnsiTheme="majorHAnsi"/>
          <w:szCs w:val="22"/>
        </w:rPr>
        <w:lastRenderedPageBreak/>
        <w:t xml:space="preserve">Comitato di Sindacato ai sensi del </w:t>
      </w:r>
      <w:r w:rsidR="0044197F" w:rsidRPr="00B67EC7">
        <w:rPr>
          <w:rFonts w:asciiTheme="majorHAnsi" w:hAnsiTheme="majorHAnsi"/>
          <w:szCs w:val="22"/>
        </w:rPr>
        <w:t>Patto</w:t>
      </w:r>
      <w:r w:rsidR="00797C8D" w:rsidRPr="00B67EC7">
        <w:rPr>
          <w:rFonts w:asciiTheme="majorHAnsi" w:hAnsiTheme="majorHAnsi"/>
          <w:szCs w:val="22"/>
        </w:rPr>
        <w:t>;</w:t>
      </w:r>
    </w:p>
    <w:p w:rsidR="00797C8D" w:rsidRPr="00B67EC7" w:rsidRDefault="00A43F7A" w:rsidP="00C90E22">
      <w:pPr>
        <w:pStyle w:val="Paragrafoelenco"/>
        <w:numPr>
          <w:ilvl w:val="0"/>
          <w:numId w:val="5"/>
        </w:numPr>
        <w:spacing w:line="360" w:lineRule="auto"/>
        <w:ind w:left="426"/>
        <w:rPr>
          <w:rFonts w:asciiTheme="majorHAnsi" w:hAnsiTheme="majorHAnsi"/>
          <w:szCs w:val="22"/>
        </w:rPr>
      </w:pPr>
      <w:r>
        <w:rPr>
          <w:rFonts w:asciiTheme="majorHAnsi" w:hAnsiTheme="majorHAnsi"/>
          <w:szCs w:val="22"/>
        </w:rPr>
        <w:t xml:space="preserve">di </w:t>
      </w:r>
      <w:r w:rsidR="005E193B">
        <w:rPr>
          <w:rFonts w:asciiTheme="majorHAnsi" w:hAnsiTheme="majorHAnsi"/>
          <w:szCs w:val="22"/>
        </w:rPr>
        <w:t>STABILIRE</w:t>
      </w:r>
      <w:r w:rsidR="00797C8D" w:rsidRPr="00B67EC7">
        <w:rPr>
          <w:rFonts w:asciiTheme="majorHAnsi" w:hAnsiTheme="majorHAnsi"/>
          <w:szCs w:val="22"/>
        </w:rPr>
        <w:t xml:space="preserve"> che il Comitato di Sindacato e per esso il suo Presidente singolarmente o congiuntamente con altri membri del medesimo</w:t>
      </w:r>
      <w:r w:rsidR="0091018F" w:rsidRPr="00B67EC7">
        <w:rPr>
          <w:rFonts w:asciiTheme="majorHAnsi" w:hAnsiTheme="majorHAnsi"/>
          <w:szCs w:val="22"/>
        </w:rPr>
        <w:t xml:space="preserve"> (il Comitato di Sindacato anche nel predetto ambito più ristretto è di seguito definito </w:t>
      </w:r>
      <w:r w:rsidR="00797C8D" w:rsidRPr="00B67EC7">
        <w:rPr>
          <w:rFonts w:asciiTheme="majorHAnsi" w:hAnsiTheme="majorHAnsi"/>
          <w:szCs w:val="22"/>
        </w:rPr>
        <w:t>il “Comitato”) ha facoltà di:</w:t>
      </w:r>
    </w:p>
    <w:p w:rsidR="00797C8D" w:rsidRPr="00B67EC7" w:rsidRDefault="00797C8D"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svolgere in nome e per conto dei Soci Pubblici venditori le procedure di selezione di consulenti finanziari (</w:t>
      </w:r>
      <w:r w:rsidRPr="00B67EC7">
        <w:rPr>
          <w:rFonts w:asciiTheme="majorHAnsi" w:hAnsiTheme="majorHAnsi"/>
          <w:i/>
          <w:szCs w:val="22"/>
        </w:rPr>
        <w:t>investment</w:t>
      </w:r>
      <w:r w:rsidR="008A7AE2" w:rsidRPr="00B67EC7">
        <w:rPr>
          <w:rFonts w:asciiTheme="majorHAnsi" w:hAnsiTheme="majorHAnsi"/>
          <w:i/>
          <w:szCs w:val="22"/>
        </w:rPr>
        <w:t>/financial</w:t>
      </w:r>
      <w:r w:rsidRPr="00B67EC7">
        <w:rPr>
          <w:rFonts w:asciiTheme="majorHAnsi" w:hAnsiTheme="majorHAnsi"/>
          <w:i/>
          <w:szCs w:val="22"/>
        </w:rPr>
        <w:t>advisor</w:t>
      </w:r>
      <w:r w:rsidRPr="00B67EC7">
        <w:rPr>
          <w:rFonts w:asciiTheme="majorHAnsi" w:hAnsiTheme="majorHAnsi"/>
          <w:szCs w:val="22"/>
        </w:rPr>
        <w:t>)</w:t>
      </w:r>
      <w:r w:rsidR="008A7AE2" w:rsidRPr="00B67EC7">
        <w:rPr>
          <w:rFonts w:asciiTheme="majorHAnsi" w:hAnsiTheme="majorHAnsi"/>
          <w:szCs w:val="22"/>
        </w:rPr>
        <w:t xml:space="preserve"> determinando la durata del relativo incarico</w:t>
      </w:r>
      <w:r w:rsidRPr="00B67EC7">
        <w:rPr>
          <w:rFonts w:asciiTheme="majorHAnsi" w:hAnsiTheme="majorHAnsi"/>
          <w:szCs w:val="22"/>
        </w:rPr>
        <w:t>, collocatori,</w:t>
      </w:r>
      <w:r w:rsidR="008A7AE2" w:rsidRPr="00B67EC7">
        <w:rPr>
          <w:rFonts w:asciiTheme="majorHAnsi" w:hAnsiTheme="majorHAnsi"/>
          <w:szCs w:val="22"/>
        </w:rPr>
        <w:t xml:space="preserve"> eventuali</w:t>
      </w:r>
      <w:r w:rsidRPr="00B67EC7">
        <w:rPr>
          <w:rFonts w:asciiTheme="majorHAnsi" w:hAnsiTheme="majorHAnsi"/>
          <w:szCs w:val="22"/>
        </w:rPr>
        <w:t xml:space="preserve"> società fiduciarie per </w:t>
      </w:r>
      <w:r w:rsidR="008A7AE2" w:rsidRPr="00B67EC7">
        <w:rPr>
          <w:rFonts w:asciiTheme="majorHAnsi" w:hAnsiTheme="majorHAnsi"/>
          <w:szCs w:val="22"/>
        </w:rPr>
        <w:t xml:space="preserve">lo svolgimento del/i </w:t>
      </w:r>
      <w:r w:rsidRPr="00B67EC7">
        <w:rPr>
          <w:rFonts w:asciiTheme="majorHAnsi" w:hAnsiTheme="majorHAnsi"/>
          <w:szCs w:val="22"/>
        </w:rPr>
        <w:t>collocamento</w:t>
      </w:r>
      <w:r w:rsidR="008A7AE2" w:rsidRPr="00B67EC7">
        <w:rPr>
          <w:rFonts w:asciiTheme="majorHAnsi" w:hAnsiTheme="majorHAnsi"/>
          <w:szCs w:val="22"/>
        </w:rPr>
        <w:t>/i</w:t>
      </w:r>
      <w:r w:rsidRPr="00B67EC7">
        <w:rPr>
          <w:rFonts w:asciiTheme="majorHAnsi" w:hAnsiTheme="majorHAnsi"/>
          <w:szCs w:val="22"/>
        </w:rPr>
        <w:t xml:space="preserve"> e provvedere alla loro individuazione, negoziando, sottoscrivendo e se del caso modificando i relativi contratti e mandati</w:t>
      </w:r>
      <w:r w:rsidR="008A7AE2" w:rsidRPr="00B67EC7">
        <w:rPr>
          <w:rFonts w:asciiTheme="majorHAnsi" w:hAnsiTheme="majorHAnsi"/>
          <w:szCs w:val="22"/>
        </w:rPr>
        <w:t xml:space="preserve"> anche agendo quale stazione appaltante</w:t>
      </w:r>
      <w:r w:rsidRPr="00B67EC7">
        <w:rPr>
          <w:rFonts w:asciiTheme="majorHAnsi" w:hAnsiTheme="majorHAnsi"/>
          <w:szCs w:val="22"/>
        </w:rPr>
        <w:t>;</w:t>
      </w:r>
    </w:p>
    <w:p w:rsidR="00797C8D" w:rsidRPr="00B67EC7" w:rsidRDefault="00797C8D"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stipulare in nome e per conto dei Soci Pubblici venditori gli accordi di collocamento e darvi esecuzione;</w:t>
      </w:r>
    </w:p>
    <w:p w:rsidR="00797C8D" w:rsidRPr="00B67EC7" w:rsidRDefault="00797C8D"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 xml:space="preserve">provvedere al coordinamento delle vendite, determinare in nome e per conto dei Soci Pubblici venditori le modalità del collocamento ed il numero definitivo delle azioni HERA da collocarsi - nel limite del numero massimo di azioni e nel rispetto della tempistica di riferimento comunicata dal Socio Pubblico ai sensi del precedente punto </w:t>
      </w:r>
      <w:r w:rsidR="00A53D75">
        <w:rPr>
          <w:rFonts w:asciiTheme="majorHAnsi" w:hAnsiTheme="majorHAnsi"/>
          <w:szCs w:val="22"/>
        </w:rPr>
        <w:t>9</w:t>
      </w:r>
      <w:r w:rsidR="00EC4AEE" w:rsidRPr="00B67EC7">
        <w:rPr>
          <w:rFonts w:asciiTheme="majorHAnsi" w:hAnsiTheme="majorHAnsi"/>
          <w:szCs w:val="22"/>
        </w:rPr>
        <w:t xml:space="preserve">– il </w:t>
      </w:r>
      <w:r w:rsidRPr="00B67EC7">
        <w:rPr>
          <w:rFonts w:asciiTheme="majorHAnsi" w:hAnsiTheme="majorHAnsi"/>
          <w:szCs w:val="22"/>
        </w:rPr>
        <w:t xml:space="preserve">prezzo </w:t>
      </w:r>
      <w:r w:rsidR="00EC4AEE" w:rsidRPr="00B67EC7">
        <w:rPr>
          <w:rFonts w:asciiTheme="majorHAnsi" w:hAnsiTheme="majorHAnsi"/>
          <w:szCs w:val="22"/>
        </w:rPr>
        <w:t xml:space="preserve">al quale la vendita delle azioni HERA è realizzata e la relativa </w:t>
      </w:r>
      <w:r w:rsidRPr="00B67EC7">
        <w:rPr>
          <w:rFonts w:asciiTheme="majorHAnsi" w:hAnsiTheme="majorHAnsi"/>
          <w:szCs w:val="22"/>
        </w:rPr>
        <w:t>tempistica anche con il supporto del consulente finanziario (</w:t>
      </w:r>
      <w:r w:rsidRPr="00B67EC7">
        <w:rPr>
          <w:rFonts w:asciiTheme="majorHAnsi" w:hAnsiTheme="majorHAnsi"/>
          <w:i/>
          <w:szCs w:val="22"/>
        </w:rPr>
        <w:t>investment</w:t>
      </w:r>
      <w:r w:rsidR="00EC4AEE" w:rsidRPr="00B67EC7">
        <w:rPr>
          <w:rFonts w:asciiTheme="majorHAnsi" w:hAnsiTheme="majorHAnsi"/>
          <w:i/>
          <w:szCs w:val="22"/>
        </w:rPr>
        <w:t>/financia</w:t>
      </w:r>
      <w:r w:rsidR="004A04E2" w:rsidRPr="00B67EC7">
        <w:rPr>
          <w:rFonts w:asciiTheme="majorHAnsi" w:hAnsiTheme="majorHAnsi"/>
          <w:i/>
          <w:szCs w:val="22"/>
        </w:rPr>
        <w:t>l</w:t>
      </w:r>
      <w:r w:rsidRPr="00B67EC7">
        <w:rPr>
          <w:rFonts w:asciiTheme="majorHAnsi" w:hAnsiTheme="majorHAnsi"/>
          <w:i/>
          <w:szCs w:val="22"/>
        </w:rPr>
        <w:t>advisor</w:t>
      </w:r>
      <w:r w:rsidRPr="00B67EC7">
        <w:rPr>
          <w:rFonts w:asciiTheme="majorHAnsi" w:hAnsiTheme="majorHAnsi"/>
          <w:szCs w:val="22"/>
        </w:rPr>
        <w:t>) e</w:t>
      </w:r>
      <w:r w:rsidR="00EC4AEE" w:rsidRPr="00B67EC7">
        <w:rPr>
          <w:rFonts w:asciiTheme="majorHAnsi" w:hAnsiTheme="majorHAnsi"/>
          <w:szCs w:val="22"/>
        </w:rPr>
        <w:t>, eventualmente,</w:t>
      </w:r>
      <w:r w:rsidRPr="00B67EC7">
        <w:rPr>
          <w:rFonts w:asciiTheme="majorHAnsi" w:hAnsiTheme="majorHAnsi"/>
          <w:szCs w:val="22"/>
        </w:rPr>
        <w:t xml:space="preserve"> del/i collocatore/i. Ove il numero delle azioni HERA oggetto del collocamento fosse inferiore rispetto al numero di azioni HERA oggetto di richiesta di vendita da parte dei Soci Pubblici ai sensi del precedente punto </w:t>
      </w:r>
      <w:r w:rsidR="00BF0D27">
        <w:rPr>
          <w:rFonts w:asciiTheme="majorHAnsi" w:hAnsiTheme="majorHAnsi"/>
          <w:szCs w:val="22"/>
        </w:rPr>
        <w:t>9</w:t>
      </w:r>
      <w:r w:rsidRPr="00B67EC7">
        <w:rPr>
          <w:rFonts w:asciiTheme="majorHAnsi" w:hAnsiTheme="majorHAnsi"/>
          <w:szCs w:val="22"/>
        </w:rPr>
        <w:t>, il numero definitivo di azioni HERA vendute da ciascun Socio Pubblico sarà determinato</w:t>
      </w:r>
      <w:r w:rsidR="00E63C8F" w:rsidRPr="00B67EC7">
        <w:rPr>
          <w:rFonts w:asciiTheme="majorHAnsi" w:hAnsiTheme="majorHAnsi"/>
          <w:szCs w:val="22"/>
        </w:rPr>
        <w:t xml:space="preserve"> proporzionalmente</w:t>
      </w:r>
      <w:r w:rsidRPr="00B67EC7">
        <w:rPr>
          <w:rFonts w:asciiTheme="majorHAnsi" w:hAnsiTheme="majorHAnsi"/>
          <w:szCs w:val="22"/>
        </w:rPr>
        <w:t xml:space="preserve"> applicando la percentuale di azioni HERA effettivamente collocate rispetto alle richieste complessivamente presentate dai Soci Pubblici venditori</w:t>
      </w:r>
      <w:r w:rsidR="00AA004B" w:rsidRPr="00B67EC7">
        <w:rPr>
          <w:rFonts w:asciiTheme="majorHAnsi" w:hAnsiTheme="majorHAnsi"/>
          <w:szCs w:val="22"/>
        </w:rPr>
        <w:t xml:space="preserve"> ai sensi del precedente punto </w:t>
      </w:r>
      <w:r w:rsidR="00A53D75">
        <w:rPr>
          <w:rFonts w:asciiTheme="majorHAnsi" w:hAnsiTheme="majorHAnsi"/>
          <w:szCs w:val="22"/>
        </w:rPr>
        <w:t>9</w:t>
      </w:r>
      <w:r w:rsidRPr="00B67EC7">
        <w:rPr>
          <w:rFonts w:asciiTheme="majorHAnsi" w:hAnsiTheme="majorHAnsi"/>
          <w:szCs w:val="22"/>
        </w:rPr>
        <w:t>;</w:t>
      </w:r>
    </w:p>
    <w:p w:rsidR="00797C8D" w:rsidRPr="00B67EC7" w:rsidRDefault="00797C8D"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impartire, in nome e per conto dei Soci Pubblici venditori, alla</w:t>
      </w:r>
      <w:r w:rsidR="00E63C8F" w:rsidRPr="00B67EC7">
        <w:rPr>
          <w:rFonts w:asciiTheme="majorHAnsi" w:hAnsiTheme="majorHAnsi"/>
          <w:szCs w:val="22"/>
        </w:rPr>
        <w:t xml:space="preserve"> eventuale</w:t>
      </w:r>
      <w:r w:rsidRPr="00B67EC7">
        <w:rPr>
          <w:rFonts w:asciiTheme="majorHAnsi" w:hAnsiTheme="majorHAnsi"/>
          <w:szCs w:val="22"/>
        </w:rPr>
        <w:t xml:space="preserve"> società fiduciaria individuata le istruzioni per procedere alla vendita delle azioni H</w:t>
      </w:r>
      <w:r w:rsidR="00AA004B" w:rsidRPr="00B67EC7">
        <w:rPr>
          <w:rFonts w:asciiTheme="majorHAnsi" w:hAnsiTheme="majorHAnsi"/>
          <w:szCs w:val="22"/>
        </w:rPr>
        <w:t xml:space="preserve">ERA di cui ai precedenti punti </w:t>
      </w:r>
      <w:r w:rsidR="00A53D75">
        <w:rPr>
          <w:rFonts w:asciiTheme="majorHAnsi" w:hAnsiTheme="majorHAnsi"/>
          <w:szCs w:val="22"/>
        </w:rPr>
        <w:t>6</w:t>
      </w:r>
      <w:r w:rsidRPr="00B67EC7">
        <w:rPr>
          <w:rFonts w:asciiTheme="majorHAnsi" w:hAnsiTheme="majorHAnsi"/>
          <w:szCs w:val="22"/>
        </w:rPr>
        <w:t xml:space="preserve"> e </w:t>
      </w:r>
      <w:r w:rsidR="00A53D75">
        <w:rPr>
          <w:rFonts w:asciiTheme="majorHAnsi" w:hAnsiTheme="majorHAnsi"/>
          <w:szCs w:val="22"/>
        </w:rPr>
        <w:t>9</w:t>
      </w:r>
      <w:r w:rsidRPr="00B67EC7">
        <w:rPr>
          <w:rFonts w:asciiTheme="majorHAnsi" w:hAnsiTheme="majorHAnsi"/>
          <w:szCs w:val="22"/>
        </w:rPr>
        <w:t xml:space="preserve"> e sottoscrivere ogni relativo atto o accordo;</w:t>
      </w:r>
    </w:p>
    <w:p w:rsidR="00797C8D" w:rsidRPr="00B67EC7" w:rsidRDefault="00797C8D"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stipulare in nome e per conto dei Soci Pubblici venditori gli impegni di inalienabilità delle proprie residue azioni HERA (impegno di lock up) con una durata sino a massimi 6 mesi e in linea con l’usuale prassi di mercato per simili operazioni;</w:t>
      </w:r>
    </w:p>
    <w:p w:rsidR="006528D6" w:rsidRPr="00B67EC7" w:rsidRDefault="00B721F2" w:rsidP="00A43F7A">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r>
      <w:r w:rsidR="006528D6" w:rsidRPr="00B67EC7">
        <w:rPr>
          <w:rFonts w:asciiTheme="majorHAnsi" w:hAnsiTheme="majorHAnsi"/>
          <w:szCs w:val="22"/>
        </w:rPr>
        <w:t>effettuare ogni relativo comunicato stampa, comunicazione e dichiarazione a Borsa Italiana S.p.A. e/o Consob e compiere tutti gli adempimenti previsti dalla vigente normativa applicabile.</w:t>
      </w:r>
    </w:p>
    <w:p w:rsidR="00797C8D" w:rsidRPr="00B67EC7" w:rsidRDefault="00A43F7A" w:rsidP="00A53D75">
      <w:pPr>
        <w:pStyle w:val="Paragrafoelenco"/>
        <w:numPr>
          <w:ilvl w:val="0"/>
          <w:numId w:val="5"/>
        </w:numPr>
        <w:spacing w:line="360" w:lineRule="auto"/>
        <w:ind w:left="426"/>
        <w:rPr>
          <w:rFonts w:asciiTheme="majorHAnsi" w:hAnsiTheme="majorHAnsi"/>
          <w:szCs w:val="22"/>
        </w:rPr>
      </w:pPr>
      <w:r>
        <w:rPr>
          <w:rFonts w:asciiTheme="majorHAnsi" w:hAnsiTheme="majorHAnsi"/>
          <w:szCs w:val="22"/>
        </w:rPr>
        <w:lastRenderedPageBreak/>
        <w:t xml:space="preserve">di AUTORIZZARE </w:t>
      </w:r>
      <w:r w:rsidR="00797C8D" w:rsidRPr="00B67EC7">
        <w:rPr>
          <w:rFonts w:asciiTheme="majorHAnsi" w:hAnsiTheme="majorHAnsi"/>
          <w:szCs w:val="22"/>
        </w:rPr>
        <w:t>il Sindaco o un suo delegato:</w:t>
      </w:r>
    </w:p>
    <w:p w:rsidR="00797C8D" w:rsidRPr="00B67EC7" w:rsidRDefault="00797C8D" w:rsidP="00A53D75">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 xml:space="preserve">a compiere ogni atto e sottoscrivere ogni contratto, incarico, impegno, mandato e documento per dare esecuzione alla vendita delle azioni HERA nei termini sopra indicati ai precedenti punti </w:t>
      </w:r>
      <w:r w:rsidR="00A43F7A">
        <w:rPr>
          <w:rFonts w:asciiTheme="majorHAnsi" w:hAnsiTheme="majorHAnsi"/>
          <w:szCs w:val="22"/>
        </w:rPr>
        <w:t>6</w:t>
      </w:r>
      <w:r w:rsidRPr="00B67EC7">
        <w:rPr>
          <w:rFonts w:asciiTheme="majorHAnsi" w:hAnsiTheme="majorHAnsi"/>
          <w:szCs w:val="22"/>
        </w:rPr>
        <w:t xml:space="preserve"> e </w:t>
      </w:r>
      <w:r w:rsidR="00A43F7A">
        <w:rPr>
          <w:rFonts w:asciiTheme="majorHAnsi" w:hAnsiTheme="majorHAnsi"/>
          <w:szCs w:val="22"/>
        </w:rPr>
        <w:t>9</w:t>
      </w:r>
      <w:r w:rsidRPr="00B67EC7">
        <w:rPr>
          <w:rFonts w:asciiTheme="majorHAnsi" w:hAnsiTheme="majorHAnsi"/>
          <w:szCs w:val="22"/>
        </w:rPr>
        <w:t>, alle attività previste ai precedent</w:t>
      </w:r>
      <w:r w:rsidR="007E45E0" w:rsidRPr="00B67EC7">
        <w:rPr>
          <w:rFonts w:asciiTheme="majorHAnsi" w:hAnsiTheme="majorHAnsi"/>
          <w:szCs w:val="22"/>
        </w:rPr>
        <w:t>i</w:t>
      </w:r>
      <w:r w:rsidRPr="00B67EC7">
        <w:rPr>
          <w:rFonts w:asciiTheme="majorHAnsi" w:hAnsiTheme="majorHAnsi"/>
          <w:szCs w:val="22"/>
        </w:rPr>
        <w:t xml:space="preserve"> punti </w:t>
      </w:r>
      <w:r w:rsidR="00A43F7A">
        <w:rPr>
          <w:rFonts w:asciiTheme="majorHAnsi" w:hAnsiTheme="majorHAnsi"/>
          <w:szCs w:val="22"/>
        </w:rPr>
        <w:t>7</w:t>
      </w:r>
      <w:r w:rsidRPr="00B67EC7">
        <w:rPr>
          <w:rFonts w:asciiTheme="majorHAnsi" w:hAnsiTheme="majorHAnsi"/>
          <w:szCs w:val="22"/>
        </w:rPr>
        <w:t xml:space="preserve"> e </w:t>
      </w:r>
      <w:r w:rsidR="00A43F7A">
        <w:rPr>
          <w:rFonts w:asciiTheme="majorHAnsi" w:hAnsiTheme="majorHAnsi"/>
          <w:szCs w:val="22"/>
        </w:rPr>
        <w:t>10</w:t>
      </w:r>
      <w:r w:rsidR="007E45E0" w:rsidRPr="00B67EC7">
        <w:rPr>
          <w:rFonts w:asciiTheme="majorHAnsi" w:hAnsiTheme="majorHAnsi"/>
          <w:szCs w:val="22"/>
        </w:rPr>
        <w:t xml:space="preserve"> nonché ai relativi atti propedeutici, conseguenti e confermativi di tutto quanto precede</w:t>
      </w:r>
      <w:r w:rsidRPr="00B67EC7">
        <w:rPr>
          <w:rFonts w:asciiTheme="majorHAnsi" w:hAnsiTheme="majorHAnsi"/>
          <w:szCs w:val="22"/>
        </w:rPr>
        <w:t>;</w:t>
      </w:r>
    </w:p>
    <w:p w:rsidR="00797C8D" w:rsidRPr="00B67EC7" w:rsidRDefault="004B3B83" w:rsidP="00A53D75">
      <w:pPr>
        <w:spacing w:line="360" w:lineRule="auto"/>
        <w:ind w:left="851" w:hanging="425"/>
        <w:rPr>
          <w:rFonts w:asciiTheme="majorHAnsi" w:hAnsiTheme="majorHAnsi"/>
          <w:szCs w:val="22"/>
        </w:rPr>
      </w:pPr>
      <w:r w:rsidRPr="00B67EC7">
        <w:rPr>
          <w:rFonts w:asciiTheme="majorHAnsi" w:hAnsiTheme="majorHAnsi"/>
          <w:szCs w:val="22"/>
        </w:rPr>
        <w:t xml:space="preserve">- </w:t>
      </w:r>
      <w:r w:rsidRPr="00B67EC7">
        <w:rPr>
          <w:rFonts w:asciiTheme="majorHAnsi" w:hAnsiTheme="majorHAnsi"/>
          <w:szCs w:val="22"/>
        </w:rPr>
        <w:tab/>
      </w:r>
      <w:r w:rsidR="00797C8D" w:rsidRPr="00B67EC7">
        <w:rPr>
          <w:rFonts w:asciiTheme="majorHAnsi" w:hAnsiTheme="majorHAnsi"/>
          <w:szCs w:val="22"/>
        </w:rPr>
        <w:t xml:space="preserve">a esercitare il relativo voto in sede di Comitato di Sindacato per le finalità indicate ai precedenti punti </w:t>
      </w:r>
      <w:r w:rsidR="00A43F7A">
        <w:rPr>
          <w:rFonts w:asciiTheme="majorHAnsi" w:hAnsiTheme="majorHAnsi"/>
          <w:szCs w:val="22"/>
        </w:rPr>
        <w:t>6</w:t>
      </w:r>
      <w:r w:rsidR="0075695B" w:rsidRPr="00B67EC7">
        <w:rPr>
          <w:rFonts w:asciiTheme="majorHAnsi" w:hAnsiTheme="majorHAnsi"/>
          <w:szCs w:val="22"/>
        </w:rPr>
        <w:t>,</w:t>
      </w:r>
      <w:r w:rsidR="00A43F7A">
        <w:rPr>
          <w:rFonts w:asciiTheme="majorHAnsi" w:hAnsiTheme="majorHAnsi"/>
          <w:szCs w:val="22"/>
        </w:rPr>
        <w:t>7</w:t>
      </w:r>
      <w:r w:rsidR="00797C8D" w:rsidRPr="00B67EC7">
        <w:rPr>
          <w:rFonts w:asciiTheme="majorHAnsi" w:hAnsiTheme="majorHAnsi"/>
          <w:szCs w:val="22"/>
        </w:rPr>
        <w:t xml:space="preserve"> e </w:t>
      </w:r>
      <w:r w:rsidR="00A43F7A">
        <w:rPr>
          <w:rFonts w:asciiTheme="majorHAnsi" w:hAnsiTheme="majorHAnsi"/>
          <w:szCs w:val="22"/>
        </w:rPr>
        <w:t>9</w:t>
      </w:r>
      <w:r w:rsidR="00797C8D" w:rsidRPr="00B67EC7">
        <w:rPr>
          <w:rFonts w:asciiTheme="majorHAnsi" w:hAnsiTheme="majorHAnsi"/>
          <w:szCs w:val="22"/>
        </w:rPr>
        <w:t xml:space="preserve">]; </w:t>
      </w:r>
    </w:p>
    <w:p w:rsidR="00797C8D" w:rsidRPr="00B67EC7" w:rsidRDefault="00797C8D" w:rsidP="00A53D75">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a conferire mandato con rappresentanza al Comitato, per dare esecuzione alla vendita delle azioni HERA nei termini sopr</w:t>
      </w:r>
      <w:r w:rsidR="00AA004B" w:rsidRPr="00B67EC7">
        <w:rPr>
          <w:rFonts w:asciiTheme="majorHAnsi" w:hAnsiTheme="majorHAnsi"/>
          <w:szCs w:val="22"/>
        </w:rPr>
        <w:t xml:space="preserve">a indicati ai precedenti punti </w:t>
      </w:r>
      <w:r w:rsidR="00A43F7A">
        <w:rPr>
          <w:rFonts w:asciiTheme="majorHAnsi" w:hAnsiTheme="majorHAnsi"/>
          <w:szCs w:val="22"/>
        </w:rPr>
        <w:t>6</w:t>
      </w:r>
      <w:r w:rsidRPr="00B67EC7">
        <w:rPr>
          <w:rFonts w:asciiTheme="majorHAnsi" w:hAnsiTheme="majorHAnsi"/>
          <w:szCs w:val="22"/>
        </w:rPr>
        <w:t xml:space="preserve">, </w:t>
      </w:r>
      <w:r w:rsidR="00A43F7A">
        <w:rPr>
          <w:rFonts w:asciiTheme="majorHAnsi" w:hAnsiTheme="majorHAnsi"/>
          <w:szCs w:val="22"/>
        </w:rPr>
        <w:t>7</w:t>
      </w:r>
      <w:r w:rsidRPr="00B67EC7">
        <w:rPr>
          <w:rFonts w:asciiTheme="majorHAnsi" w:hAnsiTheme="majorHAnsi"/>
          <w:szCs w:val="22"/>
        </w:rPr>
        <w:t xml:space="preserve"> e </w:t>
      </w:r>
      <w:r w:rsidR="00A43F7A">
        <w:rPr>
          <w:rFonts w:asciiTheme="majorHAnsi" w:hAnsiTheme="majorHAnsi"/>
          <w:szCs w:val="22"/>
        </w:rPr>
        <w:t>9</w:t>
      </w:r>
      <w:r w:rsidRPr="00B67EC7">
        <w:rPr>
          <w:rFonts w:asciiTheme="majorHAnsi" w:hAnsiTheme="majorHAnsi"/>
          <w:szCs w:val="22"/>
        </w:rPr>
        <w:t xml:space="preserve"> nonché per i relativi atti propedeutici</w:t>
      </w:r>
      <w:r w:rsidR="00437E10" w:rsidRPr="00B67EC7">
        <w:rPr>
          <w:rFonts w:asciiTheme="majorHAnsi" w:hAnsiTheme="majorHAnsi"/>
          <w:szCs w:val="22"/>
        </w:rPr>
        <w:t>,</w:t>
      </w:r>
      <w:r w:rsidRPr="00B67EC7">
        <w:rPr>
          <w:rFonts w:asciiTheme="majorHAnsi" w:hAnsiTheme="majorHAnsi"/>
          <w:szCs w:val="22"/>
        </w:rPr>
        <w:t xml:space="preserve"> conseguenti</w:t>
      </w:r>
      <w:r w:rsidR="00437E10" w:rsidRPr="00B67EC7">
        <w:rPr>
          <w:rFonts w:asciiTheme="majorHAnsi" w:hAnsiTheme="majorHAnsi"/>
          <w:szCs w:val="22"/>
        </w:rPr>
        <w:t xml:space="preserve"> e confermativi</w:t>
      </w:r>
      <w:r w:rsidRPr="00B67EC7">
        <w:rPr>
          <w:rFonts w:asciiTheme="majorHAnsi" w:hAnsiTheme="majorHAnsi"/>
          <w:szCs w:val="22"/>
        </w:rPr>
        <w:t>;</w:t>
      </w:r>
    </w:p>
    <w:p w:rsidR="00797C8D" w:rsidRPr="00B67EC7" w:rsidRDefault="00797C8D" w:rsidP="00A53D75">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a intestare le azioni HERA</w:t>
      </w:r>
      <w:r w:rsidR="00437E10" w:rsidRPr="00B67EC7">
        <w:rPr>
          <w:rFonts w:asciiTheme="majorHAnsi" w:hAnsiTheme="majorHAnsi"/>
          <w:szCs w:val="22"/>
        </w:rPr>
        <w:t>,</w:t>
      </w:r>
      <w:r w:rsidRPr="00B67EC7">
        <w:rPr>
          <w:rFonts w:asciiTheme="majorHAnsi" w:hAnsiTheme="majorHAnsi"/>
          <w:szCs w:val="22"/>
        </w:rPr>
        <w:t xml:space="preserve"> di volta in volta in vendita</w:t>
      </w:r>
      <w:r w:rsidR="00437E10" w:rsidRPr="00B67EC7">
        <w:rPr>
          <w:rFonts w:asciiTheme="majorHAnsi" w:hAnsiTheme="majorHAnsi"/>
          <w:szCs w:val="22"/>
        </w:rPr>
        <w:t>,</w:t>
      </w:r>
      <w:r w:rsidRPr="00B67EC7">
        <w:rPr>
          <w:rFonts w:asciiTheme="majorHAnsi" w:hAnsiTheme="majorHAnsi"/>
          <w:szCs w:val="22"/>
        </w:rPr>
        <w:t xml:space="preserve"> alla</w:t>
      </w:r>
      <w:r w:rsidR="00437E10" w:rsidRPr="00B67EC7">
        <w:rPr>
          <w:rFonts w:asciiTheme="majorHAnsi" w:hAnsiTheme="majorHAnsi"/>
          <w:szCs w:val="22"/>
        </w:rPr>
        <w:t xml:space="preserve"> eventuale</w:t>
      </w:r>
      <w:r w:rsidRPr="00B67EC7">
        <w:rPr>
          <w:rFonts w:asciiTheme="majorHAnsi" w:hAnsiTheme="majorHAnsi"/>
          <w:szCs w:val="22"/>
        </w:rPr>
        <w:t xml:space="preserve"> società fiduciaria individuata dal Comitato e a sottoscrivere il relativo contratto di mandato fiduciario;</w:t>
      </w:r>
    </w:p>
    <w:p w:rsidR="00797C8D" w:rsidRPr="00B67EC7" w:rsidRDefault="00797C8D" w:rsidP="00A53D75">
      <w:pPr>
        <w:spacing w:line="360" w:lineRule="auto"/>
        <w:ind w:left="851" w:hanging="425"/>
        <w:rPr>
          <w:rFonts w:asciiTheme="majorHAnsi" w:hAnsiTheme="majorHAnsi"/>
          <w:szCs w:val="22"/>
        </w:rPr>
      </w:pPr>
      <w:r w:rsidRPr="00B67EC7">
        <w:rPr>
          <w:rFonts w:asciiTheme="majorHAnsi" w:hAnsiTheme="majorHAnsi"/>
          <w:szCs w:val="22"/>
        </w:rPr>
        <w:t>-</w:t>
      </w:r>
      <w:r w:rsidRPr="00B67EC7">
        <w:rPr>
          <w:rFonts w:asciiTheme="majorHAnsi" w:hAnsiTheme="majorHAnsi"/>
          <w:szCs w:val="22"/>
        </w:rPr>
        <w:tab/>
        <w:t xml:space="preserve">a effettuare ogni relativo comunicato stampa, comunicazione e dichiarazione a Borsa Italiana S.p.A. e/o Consob e compiere tutti gli adempimenti previsti dalla vigente normativa </w:t>
      </w:r>
      <w:r w:rsidR="00437E10" w:rsidRPr="00B67EC7">
        <w:rPr>
          <w:rFonts w:asciiTheme="majorHAnsi" w:hAnsiTheme="majorHAnsi"/>
          <w:szCs w:val="22"/>
        </w:rPr>
        <w:t>applicabile</w:t>
      </w:r>
      <w:r w:rsidR="005A499D" w:rsidRPr="00B67EC7">
        <w:rPr>
          <w:rFonts w:asciiTheme="majorHAnsi" w:hAnsiTheme="majorHAnsi"/>
          <w:szCs w:val="22"/>
        </w:rPr>
        <w:t>.</w:t>
      </w:r>
    </w:p>
    <w:p w:rsidR="007419A9" w:rsidRPr="005E193B" w:rsidRDefault="005E193B" w:rsidP="005E193B">
      <w:pPr>
        <w:pStyle w:val="Paragrafoelenco"/>
        <w:numPr>
          <w:ilvl w:val="0"/>
          <w:numId w:val="5"/>
        </w:numPr>
        <w:spacing w:line="360" w:lineRule="auto"/>
        <w:ind w:left="567"/>
        <w:rPr>
          <w:rFonts w:asciiTheme="majorHAnsi" w:hAnsiTheme="majorHAnsi"/>
          <w:szCs w:val="22"/>
        </w:rPr>
      </w:pPr>
      <w:r w:rsidRPr="005E193B">
        <w:rPr>
          <w:rFonts w:asciiTheme="majorHAnsi" w:hAnsiTheme="majorHAnsi"/>
          <w:szCs w:val="22"/>
        </w:rPr>
        <w:t xml:space="preserve">di DARE ATTO che il Responsabile del procedimento è l’Avv. Sandro Mazzatorta, Direttore Generale del </w:t>
      </w:r>
      <w:r w:rsidR="00D85A9C">
        <w:rPr>
          <w:rFonts w:asciiTheme="majorHAnsi" w:hAnsiTheme="majorHAnsi"/>
          <w:szCs w:val="22"/>
        </w:rPr>
        <w:t>Comune di Ferrara.</w:t>
      </w:r>
    </w:p>
    <w:sectPr w:rsidR="007419A9" w:rsidRPr="005E193B" w:rsidSect="00C14A2F">
      <w:headerReference w:type="default" r:id="rId8"/>
      <w:footerReference w:type="default" r:id="rId9"/>
      <w:pgSz w:w="11907" w:h="16840"/>
      <w:pgMar w:top="1134" w:right="1701" w:bottom="170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C33" w:rsidRDefault="008D1C33" w:rsidP="00202D6F">
      <w:pPr>
        <w:spacing w:line="240" w:lineRule="auto"/>
      </w:pPr>
      <w:r>
        <w:separator/>
      </w:r>
    </w:p>
  </w:endnote>
  <w:endnote w:type="continuationSeparator" w:id="1">
    <w:p w:rsidR="008D1C33" w:rsidRDefault="008D1C33" w:rsidP="00202D6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2118014"/>
      <w:docPartObj>
        <w:docPartGallery w:val="Page Numbers (Bottom of Page)"/>
        <w:docPartUnique/>
      </w:docPartObj>
    </w:sdtPr>
    <w:sdtContent>
      <w:p w:rsidR="00D85A9C" w:rsidRDefault="00D85A9C">
        <w:pPr>
          <w:pStyle w:val="Pidipagina"/>
          <w:jc w:val="right"/>
        </w:pPr>
        <w:fldSimple w:instr=" PAGE   \* MERGEFORMAT ">
          <w:r>
            <w:rPr>
              <w:noProof/>
            </w:rPr>
            <w:t>6</w:t>
          </w:r>
        </w:fldSimple>
      </w:p>
    </w:sdtContent>
  </w:sdt>
  <w:p w:rsidR="00D85A9C" w:rsidRDefault="00D85A9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C33" w:rsidRDefault="008D1C33" w:rsidP="00202D6F">
      <w:pPr>
        <w:spacing w:line="240" w:lineRule="auto"/>
      </w:pPr>
      <w:r>
        <w:separator/>
      </w:r>
    </w:p>
  </w:footnote>
  <w:footnote w:type="continuationSeparator" w:id="1">
    <w:p w:rsidR="008D1C33" w:rsidRDefault="008D1C33" w:rsidP="00202D6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D6F" w:rsidRPr="008D1058" w:rsidRDefault="00D34F3A" w:rsidP="00D34F3A">
    <w:pPr>
      <w:pStyle w:val="Intestazione"/>
      <w:jc w:val="right"/>
      <w:rPr>
        <w:rFonts w:ascii="Times New Roman" w:hAnsi="Times New Roman"/>
        <w:sz w:val="32"/>
        <w:szCs w:val="32"/>
      </w:rPr>
    </w:pPr>
    <w:r>
      <w:rPr>
        <w:sz w:val="24"/>
        <w:szCs w:val="24"/>
      </w:rPr>
      <w:tab/>
    </w:r>
  </w:p>
  <w:p w:rsidR="008845D6" w:rsidRPr="00D42041" w:rsidRDefault="00E00D37" w:rsidP="008845D6">
    <w:pPr>
      <w:pStyle w:val="Intestazione"/>
      <w:jc w:val="right"/>
      <w:rPr>
        <w:rFonts w:ascii="Times New Roman" w:hAnsi="Times New Roman"/>
      </w:rPr>
    </w:pPr>
    <w:r>
      <w:rPr>
        <w:rFonts w:ascii="Times New Roman" w:hAnsi="Times New Roman"/>
      </w:rPr>
      <w:tab/>
    </w:r>
    <w:r>
      <w:rPr>
        <w:rFonts w:ascii="Times New Roman" w:hAnsi="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434A3"/>
    <w:multiLevelType w:val="hybridMultilevel"/>
    <w:tmpl w:val="32D8FFB2"/>
    <w:lvl w:ilvl="0" w:tplc="FFFFFFFF">
      <w:start w:val="2"/>
      <w:numFmt w:val="bullet"/>
      <w:lvlText w:val="-"/>
      <w:lvlJc w:val="left"/>
      <w:pPr>
        <w:ind w:left="720" w:hanging="360"/>
      </w:pPr>
      <w:rPr>
        <w:rFonts w:ascii="Courier New" w:eastAsia="Times New Roman"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5E15262"/>
    <w:multiLevelType w:val="hybridMultilevel"/>
    <w:tmpl w:val="F0C0A3C6"/>
    <w:lvl w:ilvl="0" w:tplc="D7C07F10">
      <w:numFmt w:val="bullet"/>
      <w:lvlText w:val="-"/>
      <w:lvlJc w:val="left"/>
      <w:pPr>
        <w:ind w:left="502" w:hanging="360"/>
      </w:pPr>
      <w:rPr>
        <w:rFonts w:ascii="Arial" w:eastAsia="Times New Roman" w:hAnsi="Arial" w:cs="Arial"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437C78"/>
    <w:multiLevelType w:val="hybridMultilevel"/>
    <w:tmpl w:val="CB505D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E975DD0"/>
    <w:multiLevelType w:val="hybridMultilevel"/>
    <w:tmpl w:val="C686754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73E5380"/>
    <w:multiLevelType w:val="hybridMultilevel"/>
    <w:tmpl w:val="2D50D1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5E286583"/>
    <w:multiLevelType w:val="hybridMultilevel"/>
    <w:tmpl w:val="5F30141A"/>
    <w:lvl w:ilvl="0" w:tplc="04100009">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7E7038"/>
    <w:rsid w:val="0003415E"/>
    <w:rsid w:val="00041CAF"/>
    <w:rsid w:val="000432F5"/>
    <w:rsid w:val="000638C0"/>
    <w:rsid w:val="00066C44"/>
    <w:rsid w:val="000771C7"/>
    <w:rsid w:val="00084546"/>
    <w:rsid w:val="0009610C"/>
    <w:rsid w:val="000A0219"/>
    <w:rsid w:val="000A33BD"/>
    <w:rsid w:val="000A64E6"/>
    <w:rsid w:val="000B1443"/>
    <w:rsid w:val="000C0296"/>
    <w:rsid w:val="000C4EDB"/>
    <w:rsid w:val="000F6868"/>
    <w:rsid w:val="00127D3E"/>
    <w:rsid w:val="00144B82"/>
    <w:rsid w:val="00144CA4"/>
    <w:rsid w:val="00161C6D"/>
    <w:rsid w:val="00171F7A"/>
    <w:rsid w:val="00172467"/>
    <w:rsid w:val="00185059"/>
    <w:rsid w:val="001A1B43"/>
    <w:rsid w:val="001A4F7F"/>
    <w:rsid w:val="001A7340"/>
    <w:rsid w:val="001B0901"/>
    <w:rsid w:val="001B1B03"/>
    <w:rsid w:val="001B41FC"/>
    <w:rsid w:val="001B45CF"/>
    <w:rsid w:val="001B4F22"/>
    <w:rsid w:val="001D0527"/>
    <w:rsid w:val="001E1884"/>
    <w:rsid w:val="001F00C7"/>
    <w:rsid w:val="001F429B"/>
    <w:rsid w:val="00202D6F"/>
    <w:rsid w:val="00204E1C"/>
    <w:rsid w:val="00213BD8"/>
    <w:rsid w:val="002216F6"/>
    <w:rsid w:val="0023249B"/>
    <w:rsid w:val="00240DE0"/>
    <w:rsid w:val="00243978"/>
    <w:rsid w:val="002536B2"/>
    <w:rsid w:val="00254727"/>
    <w:rsid w:val="002574C8"/>
    <w:rsid w:val="00262692"/>
    <w:rsid w:val="00262749"/>
    <w:rsid w:val="002903CA"/>
    <w:rsid w:val="002B399C"/>
    <w:rsid w:val="002E4F43"/>
    <w:rsid w:val="002F159A"/>
    <w:rsid w:val="002F7D21"/>
    <w:rsid w:val="00321431"/>
    <w:rsid w:val="0033274A"/>
    <w:rsid w:val="003339A1"/>
    <w:rsid w:val="003538C8"/>
    <w:rsid w:val="003610ED"/>
    <w:rsid w:val="003813A3"/>
    <w:rsid w:val="003A11F2"/>
    <w:rsid w:val="003A6CCE"/>
    <w:rsid w:val="003B2862"/>
    <w:rsid w:val="003C56CF"/>
    <w:rsid w:val="003F1FD1"/>
    <w:rsid w:val="003F2B78"/>
    <w:rsid w:val="003F4B09"/>
    <w:rsid w:val="00401EFD"/>
    <w:rsid w:val="00403859"/>
    <w:rsid w:val="0041518B"/>
    <w:rsid w:val="00420BCF"/>
    <w:rsid w:val="00437E10"/>
    <w:rsid w:val="004404F4"/>
    <w:rsid w:val="0044197F"/>
    <w:rsid w:val="00442559"/>
    <w:rsid w:val="004445E0"/>
    <w:rsid w:val="00462ADE"/>
    <w:rsid w:val="0046419D"/>
    <w:rsid w:val="00473109"/>
    <w:rsid w:val="004948D8"/>
    <w:rsid w:val="00496F5B"/>
    <w:rsid w:val="004A04E2"/>
    <w:rsid w:val="004B3B83"/>
    <w:rsid w:val="004C43F6"/>
    <w:rsid w:val="004C4E6A"/>
    <w:rsid w:val="004D61C8"/>
    <w:rsid w:val="004F3DC6"/>
    <w:rsid w:val="0050417D"/>
    <w:rsid w:val="005163CC"/>
    <w:rsid w:val="00520003"/>
    <w:rsid w:val="00527C06"/>
    <w:rsid w:val="0053637C"/>
    <w:rsid w:val="005421B9"/>
    <w:rsid w:val="00545A46"/>
    <w:rsid w:val="00552C2A"/>
    <w:rsid w:val="00554162"/>
    <w:rsid w:val="00581AFF"/>
    <w:rsid w:val="005A3170"/>
    <w:rsid w:val="005A499D"/>
    <w:rsid w:val="005B0BAB"/>
    <w:rsid w:val="005B67F6"/>
    <w:rsid w:val="005C498A"/>
    <w:rsid w:val="005D15CC"/>
    <w:rsid w:val="005D1726"/>
    <w:rsid w:val="005E193B"/>
    <w:rsid w:val="005F4824"/>
    <w:rsid w:val="00630D17"/>
    <w:rsid w:val="00630E6F"/>
    <w:rsid w:val="00632461"/>
    <w:rsid w:val="0064051B"/>
    <w:rsid w:val="0064288F"/>
    <w:rsid w:val="00650120"/>
    <w:rsid w:val="006528D6"/>
    <w:rsid w:val="0065715A"/>
    <w:rsid w:val="00667148"/>
    <w:rsid w:val="00682434"/>
    <w:rsid w:val="00685ABF"/>
    <w:rsid w:val="0069023D"/>
    <w:rsid w:val="00695E45"/>
    <w:rsid w:val="006976DA"/>
    <w:rsid w:val="006B399F"/>
    <w:rsid w:val="006C72B4"/>
    <w:rsid w:val="006E1948"/>
    <w:rsid w:val="006F56F2"/>
    <w:rsid w:val="006F6447"/>
    <w:rsid w:val="00714635"/>
    <w:rsid w:val="007275F4"/>
    <w:rsid w:val="007419A9"/>
    <w:rsid w:val="00745CF4"/>
    <w:rsid w:val="007472EC"/>
    <w:rsid w:val="0075695B"/>
    <w:rsid w:val="00763DD4"/>
    <w:rsid w:val="007819C0"/>
    <w:rsid w:val="00797C8D"/>
    <w:rsid w:val="007B4698"/>
    <w:rsid w:val="007C03D7"/>
    <w:rsid w:val="007D560B"/>
    <w:rsid w:val="007E0514"/>
    <w:rsid w:val="007E31E8"/>
    <w:rsid w:val="007E45E0"/>
    <w:rsid w:val="007E7038"/>
    <w:rsid w:val="00823C75"/>
    <w:rsid w:val="00827A07"/>
    <w:rsid w:val="008339D3"/>
    <w:rsid w:val="0083415D"/>
    <w:rsid w:val="008361AB"/>
    <w:rsid w:val="00856143"/>
    <w:rsid w:val="008575EC"/>
    <w:rsid w:val="00874459"/>
    <w:rsid w:val="008845D6"/>
    <w:rsid w:val="008852C9"/>
    <w:rsid w:val="0089087C"/>
    <w:rsid w:val="00894092"/>
    <w:rsid w:val="008A3E57"/>
    <w:rsid w:val="008A44DE"/>
    <w:rsid w:val="008A5306"/>
    <w:rsid w:val="008A7AE2"/>
    <w:rsid w:val="008C5BF3"/>
    <w:rsid w:val="008D1058"/>
    <w:rsid w:val="008D1C33"/>
    <w:rsid w:val="009025B1"/>
    <w:rsid w:val="00907104"/>
    <w:rsid w:val="0091018F"/>
    <w:rsid w:val="0091024A"/>
    <w:rsid w:val="00913E67"/>
    <w:rsid w:val="009172BA"/>
    <w:rsid w:val="00931C02"/>
    <w:rsid w:val="009355FE"/>
    <w:rsid w:val="00965280"/>
    <w:rsid w:val="00965CE2"/>
    <w:rsid w:val="00984301"/>
    <w:rsid w:val="009948D1"/>
    <w:rsid w:val="009A191B"/>
    <w:rsid w:val="009A358D"/>
    <w:rsid w:val="009A3C8A"/>
    <w:rsid w:val="009A6162"/>
    <w:rsid w:val="009B4627"/>
    <w:rsid w:val="009C3EBE"/>
    <w:rsid w:val="009D03D4"/>
    <w:rsid w:val="009D2E6F"/>
    <w:rsid w:val="009F50B0"/>
    <w:rsid w:val="00A06BAD"/>
    <w:rsid w:val="00A07AE3"/>
    <w:rsid w:val="00A43F7A"/>
    <w:rsid w:val="00A522FB"/>
    <w:rsid w:val="00A53D75"/>
    <w:rsid w:val="00A65AE0"/>
    <w:rsid w:val="00A90F35"/>
    <w:rsid w:val="00AA004B"/>
    <w:rsid w:val="00AB0F10"/>
    <w:rsid w:val="00AB3B1E"/>
    <w:rsid w:val="00AC2839"/>
    <w:rsid w:val="00AC33C7"/>
    <w:rsid w:val="00AC3E92"/>
    <w:rsid w:val="00AD5883"/>
    <w:rsid w:val="00AE4C8C"/>
    <w:rsid w:val="00AF081E"/>
    <w:rsid w:val="00AF4789"/>
    <w:rsid w:val="00B0290C"/>
    <w:rsid w:val="00B26560"/>
    <w:rsid w:val="00B3528B"/>
    <w:rsid w:val="00B4387B"/>
    <w:rsid w:val="00B67EC7"/>
    <w:rsid w:val="00B721F2"/>
    <w:rsid w:val="00B90EF4"/>
    <w:rsid w:val="00BA4488"/>
    <w:rsid w:val="00BA67BA"/>
    <w:rsid w:val="00BC5BB5"/>
    <w:rsid w:val="00BD656F"/>
    <w:rsid w:val="00BD6E76"/>
    <w:rsid w:val="00BF0D27"/>
    <w:rsid w:val="00BF2C9C"/>
    <w:rsid w:val="00C14A2F"/>
    <w:rsid w:val="00C3063C"/>
    <w:rsid w:val="00C31242"/>
    <w:rsid w:val="00C3326B"/>
    <w:rsid w:val="00C34EAF"/>
    <w:rsid w:val="00C43448"/>
    <w:rsid w:val="00C442CA"/>
    <w:rsid w:val="00C5003F"/>
    <w:rsid w:val="00C57F31"/>
    <w:rsid w:val="00C6514E"/>
    <w:rsid w:val="00C86C47"/>
    <w:rsid w:val="00C90E22"/>
    <w:rsid w:val="00C92D33"/>
    <w:rsid w:val="00CA2080"/>
    <w:rsid w:val="00CB4682"/>
    <w:rsid w:val="00CC225A"/>
    <w:rsid w:val="00CC5546"/>
    <w:rsid w:val="00CD40E7"/>
    <w:rsid w:val="00CD6709"/>
    <w:rsid w:val="00CE448D"/>
    <w:rsid w:val="00CE54FC"/>
    <w:rsid w:val="00D043FA"/>
    <w:rsid w:val="00D34F3A"/>
    <w:rsid w:val="00D42041"/>
    <w:rsid w:val="00D5318F"/>
    <w:rsid w:val="00D6228A"/>
    <w:rsid w:val="00D85A9C"/>
    <w:rsid w:val="00D90840"/>
    <w:rsid w:val="00DB525F"/>
    <w:rsid w:val="00DB567F"/>
    <w:rsid w:val="00DC5722"/>
    <w:rsid w:val="00DD7234"/>
    <w:rsid w:val="00DF6F84"/>
    <w:rsid w:val="00DF757D"/>
    <w:rsid w:val="00E00D37"/>
    <w:rsid w:val="00E10EC4"/>
    <w:rsid w:val="00E1766E"/>
    <w:rsid w:val="00E24C88"/>
    <w:rsid w:val="00E61D21"/>
    <w:rsid w:val="00E63C8F"/>
    <w:rsid w:val="00E91457"/>
    <w:rsid w:val="00E97CFA"/>
    <w:rsid w:val="00EB331F"/>
    <w:rsid w:val="00EB46C8"/>
    <w:rsid w:val="00EB65FB"/>
    <w:rsid w:val="00EC4AEE"/>
    <w:rsid w:val="00EC61C1"/>
    <w:rsid w:val="00ED4BD3"/>
    <w:rsid w:val="00EE0859"/>
    <w:rsid w:val="00EE4322"/>
    <w:rsid w:val="00EE5572"/>
    <w:rsid w:val="00EE696C"/>
    <w:rsid w:val="00EF21C8"/>
    <w:rsid w:val="00EF4FE9"/>
    <w:rsid w:val="00F05A80"/>
    <w:rsid w:val="00F11670"/>
    <w:rsid w:val="00F55195"/>
    <w:rsid w:val="00F60AF7"/>
    <w:rsid w:val="00F7116F"/>
    <w:rsid w:val="00F863E1"/>
    <w:rsid w:val="00F86EC6"/>
    <w:rsid w:val="00FB0195"/>
    <w:rsid w:val="00FC2B09"/>
    <w:rsid w:val="00FE09AE"/>
    <w:rsid w:val="00FE1B90"/>
    <w:rsid w:val="00FE3AF7"/>
    <w:rsid w:val="00FF207E"/>
    <w:rsid w:val="00FF240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4A2F"/>
    <w:pPr>
      <w:widowControl w:val="0"/>
      <w:overflowPunct w:val="0"/>
      <w:autoSpaceDE w:val="0"/>
      <w:autoSpaceDN w:val="0"/>
      <w:adjustRightInd w:val="0"/>
      <w:spacing w:line="300" w:lineRule="atLeast"/>
      <w:jc w:val="both"/>
      <w:textAlignment w:val="baseline"/>
    </w:pPr>
    <w:rPr>
      <w:rFonts w:ascii="Arial" w:hAnsi="Arial"/>
      <w:sz w:val="22"/>
    </w:rPr>
  </w:style>
  <w:style w:type="paragraph" w:styleId="Titolo1">
    <w:name w:val="heading 1"/>
    <w:basedOn w:val="Normale"/>
    <w:next w:val="Normale"/>
    <w:qFormat/>
    <w:rsid w:val="00C14A2F"/>
    <w:pPr>
      <w:keepNext/>
      <w:spacing w:before="240" w:after="60"/>
      <w:outlineLvl w:val="0"/>
    </w:pPr>
    <w:rPr>
      <w:b/>
      <w:kern w:val="28"/>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1">
    <w:name w:val="R1"/>
    <w:basedOn w:val="Normale"/>
    <w:rsid w:val="00C14A2F"/>
    <w:pPr>
      <w:ind w:left="284" w:hanging="284"/>
    </w:pPr>
  </w:style>
  <w:style w:type="paragraph" w:customStyle="1" w:styleId="TC">
    <w:name w:val="TC"/>
    <w:basedOn w:val="Normale"/>
    <w:rsid w:val="00C14A2F"/>
    <w:pPr>
      <w:jc w:val="center"/>
    </w:pPr>
  </w:style>
  <w:style w:type="paragraph" w:customStyle="1" w:styleId="T2">
    <w:name w:val="T2"/>
    <w:basedOn w:val="Normale"/>
    <w:rsid w:val="00C14A2F"/>
    <w:pPr>
      <w:jc w:val="center"/>
    </w:pPr>
    <w:rPr>
      <w:b/>
      <w:i/>
      <w:u w:val="single"/>
    </w:rPr>
  </w:style>
  <w:style w:type="paragraph" w:customStyle="1" w:styleId="TD">
    <w:name w:val="TD"/>
    <w:basedOn w:val="Normale"/>
    <w:rsid w:val="00C14A2F"/>
    <w:pPr>
      <w:jc w:val="right"/>
    </w:pPr>
  </w:style>
  <w:style w:type="paragraph" w:customStyle="1" w:styleId="TB">
    <w:name w:val="TB"/>
    <w:basedOn w:val="Normale"/>
    <w:rsid w:val="00C14A2F"/>
    <w:pPr>
      <w:tabs>
        <w:tab w:val="right" w:pos="5472"/>
        <w:tab w:val="right" w:pos="7201"/>
      </w:tabs>
    </w:pPr>
  </w:style>
  <w:style w:type="paragraph" w:customStyle="1" w:styleId="rientronolinea">
    <w:name w:val="rientro no linea"/>
    <w:basedOn w:val="Normale"/>
    <w:rsid w:val="00C14A2F"/>
    <w:pPr>
      <w:ind w:left="284" w:hanging="284"/>
    </w:pPr>
  </w:style>
  <w:style w:type="paragraph" w:styleId="Paragrafoelenco">
    <w:name w:val="List Paragraph"/>
    <w:basedOn w:val="Normale"/>
    <w:uiPriority w:val="99"/>
    <w:qFormat/>
    <w:rsid w:val="00E61D21"/>
    <w:pPr>
      <w:ind w:left="708"/>
    </w:pPr>
  </w:style>
  <w:style w:type="paragraph" w:styleId="Testofumetto">
    <w:name w:val="Balloon Text"/>
    <w:basedOn w:val="Normale"/>
    <w:link w:val="TestofumettoCarattere"/>
    <w:uiPriority w:val="99"/>
    <w:semiHidden/>
    <w:unhideWhenUsed/>
    <w:rsid w:val="00F05A8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5A80"/>
    <w:rPr>
      <w:rFonts w:ascii="Tahoma" w:hAnsi="Tahoma" w:cs="Tahoma"/>
      <w:sz w:val="16"/>
      <w:szCs w:val="16"/>
    </w:rPr>
  </w:style>
  <w:style w:type="paragraph" w:styleId="Corpodeltesto2">
    <w:name w:val="Body Text 2"/>
    <w:basedOn w:val="Normale"/>
    <w:link w:val="Corpodeltesto2Carattere"/>
    <w:rsid w:val="00202D6F"/>
    <w:pPr>
      <w:overflowPunct/>
      <w:autoSpaceDE/>
      <w:autoSpaceDN/>
      <w:adjustRightInd/>
      <w:spacing w:line="360" w:lineRule="atLeast"/>
      <w:textAlignment w:val="auto"/>
    </w:pPr>
    <w:rPr>
      <w:rFonts w:ascii="Times New Roman" w:hAnsi="Times New Roman"/>
      <w:sz w:val="24"/>
    </w:rPr>
  </w:style>
  <w:style w:type="character" w:customStyle="1" w:styleId="Corpodeltesto2Carattere">
    <w:name w:val="Corpo del testo 2 Carattere"/>
    <w:basedOn w:val="Carpredefinitoparagrafo"/>
    <w:link w:val="Corpodeltesto2"/>
    <w:rsid w:val="00202D6F"/>
    <w:rPr>
      <w:sz w:val="24"/>
    </w:rPr>
  </w:style>
  <w:style w:type="paragraph" w:styleId="Intestazione">
    <w:name w:val="header"/>
    <w:basedOn w:val="Normale"/>
    <w:link w:val="IntestazioneCarattere"/>
    <w:uiPriority w:val="99"/>
    <w:unhideWhenUsed/>
    <w:rsid w:val="00202D6F"/>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02D6F"/>
    <w:rPr>
      <w:rFonts w:ascii="Arial" w:hAnsi="Arial"/>
      <w:sz w:val="22"/>
    </w:rPr>
  </w:style>
  <w:style w:type="paragraph" w:styleId="Pidipagina">
    <w:name w:val="footer"/>
    <w:basedOn w:val="Normale"/>
    <w:link w:val="PidipaginaCarattere"/>
    <w:uiPriority w:val="99"/>
    <w:unhideWhenUsed/>
    <w:rsid w:val="00202D6F"/>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02D6F"/>
    <w:rPr>
      <w:rFonts w:ascii="Arial" w:hAnsi="Arial"/>
      <w:sz w:val="22"/>
    </w:rPr>
  </w:style>
  <w:style w:type="paragraph" w:styleId="Corpodeltesto">
    <w:name w:val="Body Text"/>
    <w:basedOn w:val="Normale"/>
    <w:link w:val="CorpodeltestoCarattere"/>
    <w:uiPriority w:val="99"/>
    <w:semiHidden/>
    <w:unhideWhenUsed/>
    <w:rsid w:val="008A44DE"/>
    <w:pPr>
      <w:spacing w:after="120"/>
    </w:pPr>
  </w:style>
  <w:style w:type="character" w:customStyle="1" w:styleId="CorpodeltestoCarattere">
    <w:name w:val="Corpo del testo Carattere"/>
    <w:basedOn w:val="Carpredefinitoparagrafo"/>
    <w:link w:val="Corpodeltesto"/>
    <w:uiPriority w:val="99"/>
    <w:semiHidden/>
    <w:rsid w:val="008A44DE"/>
    <w:rPr>
      <w:rFonts w:ascii="Arial" w:hAnsi="Arial"/>
      <w:sz w:val="22"/>
    </w:rPr>
  </w:style>
  <w:style w:type="character" w:styleId="Rimandocommento">
    <w:name w:val="annotation reference"/>
    <w:basedOn w:val="Carpredefinitoparagrafo"/>
    <w:uiPriority w:val="99"/>
    <w:semiHidden/>
    <w:unhideWhenUsed/>
    <w:rsid w:val="00127D3E"/>
    <w:rPr>
      <w:sz w:val="16"/>
      <w:szCs w:val="16"/>
    </w:rPr>
  </w:style>
  <w:style w:type="paragraph" w:styleId="Testocommento">
    <w:name w:val="annotation text"/>
    <w:basedOn w:val="Normale"/>
    <w:link w:val="TestocommentoCarattere"/>
    <w:uiPriority w:val="99"/>
    <w:semiHidden/>
    <w:unhideWhenUsed/>
    <w:rsid w:val="00127D3E"/>
    <w:pPr>
      <w:spacing w:line="240" w:lineRule="auto"/>
    </w:pPr>
    <w:rPr>
      <w:sz w:val="20"/>
    </w:rPr>
  </w:style>
  <w:style w:type="character" w:customStyle="1" w:styleId="TestocommentoCarattere">
    <w:name w:val="Testo commento Carattere"/>
    <w:basedOn w:val="Carpredefinitoparagrafo"/>
    <w:link w:val="Testocommento"/>
    <w:uiPriority w:val="99"/>
    <w:semiHidden/>
    <w:rsid w:val="00127D3E"/>
    <w:rPr>
      <w:rFonts w:ascii="Arial" w:hAnsi="Arial"/>
    </w:rPr>
  </w:style>
  <w:style w:type="paragraph" w:styleId="Soggettocommento">
    <w:name w:val="annotation subject"/>
    <w:basedOn w:val="Testocommento"/>
    <w:next w:val="Testocommento"/>
    <w:link w:val="SoggettocommentoCarattere"/>
    <w:uiPriority w:val="99"/>
    <w:semiHidden/>
    <w:unhideWhenUsed/>
    <w:rsid w:val="00127D3E"/>
    <w:rPr>
      <w:b/>
      <w:bCs/>
    </w:rPr>
  </w:style>
  <w:style w:type="character" w:customStyle="1" w:styleId="SoggettocommentoCarattere">
    <w:name w:val="Soggetto commento Carattere"/>
    <w:basedOn w:val="TestocommentoCarattere"/>
    <w:link w:val="Soggettocommento"/>
    <w:uiPriority w:val="99"/>
    <w:semiHidden/>
    <w:rsid w:val="00127D3E"/>
    <w:rPr>
      <w:rFonts w:ascii="Arial" w:hAnsi="Arial"/>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56BFB-F317-42A6-8073-A234E297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1995</Words>
  <Characters>11372</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VkljàlgjvhiOHowef</vt:lpstr>
    </vt:vector>
  </TitlesOfParts>
  <Company>STUDIO  LEGALE  ASSOCIATO</Company>
  <LinksUpToDate>false</LinksUpToDate>
  <CharactersWithSpaces>13341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VkljàlgjvhiOHowef</dc:title>
  <dc:creator>Lenovo User</dc:creator>
  <cp:lastModifiedBy>p.marzola</cp:lastModifiedBy>
  <cp:revision>2</cp:revision>
  <cp:lastPrinted>2021-01-28T11:00:00Z</cp:lastPrinted>
  <dcterms:created xsi:type="dcterms:W3CDTF">2021-02-09T09:47:00Z</dcterms:created>
  <dcterms:modified xsi:type="dcterms:W3CDTF">2021-02-09T09:47:00Z</dcterms:modified>
</cp:coreProperties>
</file>