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4A8" w:rsidRPr="00E55266" w:rsidRDefault="00C13971" w:rsidP="005634A8">
      <w:pPr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  <w:lang w:eastAsia="it-IT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62865</wp:posOffset>
            </wp:positionH>
            <wp:positionV relativeFrom="paragraph">
              <wp:posOffset>49530</wp:posOffset>
            </wp:positionV>
            <wp:extent cx="5994400" cy="1034415"/>
            <wp:effectExtent l="19050" t="0" r="6350" b="0"/>
            <wp:wrapTopAndBottom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0" cy="10344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0963" w:rsidRPr="00E55266" w:rsidRDefault="00CF6CC6" w:rsidP="00E55266">
      <w:pPr>
        <w:jc w:val="center"/>
        <w:rPr>
          <w:rFonts w:cs="Arial"/>
          <w:sz w:val="28"/>
          <w:szCs w:val="28"/>
        </w:rPr>
      </w:pPr>
      <w:bookmarkStart w:id="0" w:name="Settore"/>
      <w:r w:rsidRPr="00E55266">
        <w:rPr>
          <w:rFonts w:cs="Arial"/>
          <w:sz w:val="28"/>
          <w:szCs w:val="28"/>
        </w:rPr>
        <w:t>190 - SETTORE SVILUPPO ECONOMICO</w:t>
      </w:r>
      <w:bookmarkEnd w:id="0"/>
    </w:p>
    <w:p w:rsidR="005634A8" w:rsidRPr="00E55266" w:rsidRDefault="00CF6CC6" w:rsidP="00E55266">
      <w:pPr>
        <w:jc w:val="center"/>
        <w:rPr>
          <w:rFonts w:cs="Arial"/>
          <w:sz w:val="28"/>
          <w:szCs w:val="28"/>
        </w:rPr>
      </w:pPr>
      <w:r w:rsidRPr="00E55266">
        <w:rPr>
          <w:rFonts w:cs="Arial"/>
          <w:sz w:val="28"/>
          <w:szCs w:val="28"/>
        </w:rPr>
        <w:t xml:space="preserve">RP </w:t>
      </w:r>
      <w:bookmarkStart w:id="1" w:name="Struttura"/>
      <w:r w:rsidRPr="00E55266">
        <w:rPr>
          <w:rFonts w:cs="Arial"/>
          <w:sz w:val="28"/>
          <w:szCs w:val="28"/>
        </w:rPr>
        <w:t>190 - SETTORE SVILUPPO ECONOMICO</w:t>
      </w:r>
      <w:bookmarkEnd w:id="1"/>
    </w:p>
    <w:p w:rsidR="005634A8" w:rsidRDefault="00CF6CC6" w:rsidP="001353C6">
      <w:pPr>
        <w:jc w:val="center"/>
        <w:rPr>
          <w:rFonts w:cs="Arial"/>
        </w:rPr>
      </w:pPr>
    </w:p>
    <w:p w:rsidR="00B70963" w:rsidRPr="001353C6" w:rsidRDefault="00CF6CC6" w:rsidP="001353C6">
      <w:pPr>
        <w:jc w:val="center"/>
        <w:rPr>
          <w:rFonts w:cs="Arial"/>
        </w:rPr>
      </w:pPr>
    </w:p>
    <w:p w:rsidR="00D10FE0" w:rsidRDefault="00CF6CC6" w:rsidP="001353C6">
      <w:pPr>
        <w:jc w:val="center"/>
        <w:rPr>
          <w:rFonts w:cs="Arial"/>
          <w:b/>
          <w:bCs/>
          <w:sz w:val="36"/>
          <w:szCs w:val="36"/>
        </w:rPr>
      </w:pPr>
      <w:r>
        <w:rPr>
          <w:rFonts w:cs="Arial"/>
          <w:b/>
          <w:bCs/>
          <w:sz w:val="36"/>
          <w:szCs w:val="36"/>
        </w:rPr>
        <w:t>Proposta di Delibera di Consiglio Comunale</w:t>
      </w:r>
    </w:p>
    <w:p w:rsidR="005634A8" w:rsidRPr="001353C6" w:rsidRDefault="00CF6CC6" w:rsidP="001353C6">
      <w:pPr>
        <w:jc w:val="center"/>
        <w:rPr>
          <w:rFonts w:cs="Arial"/>
          <w:sz w:val="36"/>
          <w:szCs w:val="36"/>
        </w:rPr>
      </w:pPr>
      <w:bookmarkStart w:id="2" w:name="AttoAnno"/>
      <w:r>
        <w:rPr>
          <w:rFonts w:cs="Arial"/>
          <w:b/>
          <w:bCs/>
          <w:sz w:val="36"/>
          <w:szCs w:val="36"/>
        </w:rPr>
        <w:t>2023</w:t>
      </w:r>
      <w:bookmarkEnd w:id="2"/>
      <w:r w:rsidRPr="001353C6">
        <w:rPr>
          <w:rFonts w:cs="Arial"/>
          <w:b/>
          <w:bCs/>
          <w:sz w:val="36"/>
          <w:szCs w:val="36"/>
        </w:rPr>
        <w:t>-</w:t>
      </w:r>
      <w:bookmarkStart w:id="3" w:name="AttoNumero"/>
      <w:r>
        <w:rPr>
          <w:rFonts w:cs="Arial"/>
          <w:b/>
          <w:bCs/>
          <w:sz w:val="36"/>
          <w:szCs w:val="36"/>
        </w:rPr>
        <w:t>85</w:t>
      </w:r>
      <w:bookmarkEnd w:id="3"/>
      <w:r>
        <w:rPr>
          <w:rFonts w:cs="Arial"/>
          <w:b/>
          <w:bCs/>
          <w:sz w:val="36"/>
          <w:szCs w:val="36"/>
        </w:rPr>
        <w:t xml:space="preserve"> del </w:t>
      </w:r>
      <w:bookmarkStart w:id="4" w:name="AttoData"/>
      <w:r>
        <w:rPr>
          <w:rFonts w:cs="Arial"/>
          <w:b/>
          <w:bCs/>
          <w:sz w:val="36"/>
          <w:szCs w:val="36"/>
        </w:rPr>
        <w:t>11/09/2023</w:t>
      </w:r>
      <w:bookmarkEnd w:id="4"/>
    </w:p>
    <w:p w:rsidR="005634A8" w:rsidRPr="001353C6" w:rsidRDefault="00CF6CC6" w:rsidP="005634A8">
      <w:pPr>
        <w:rPr>
          <w:rFonts w:cs="Arial"/>
        </w:rPr>
      </w:pPr>
    </w:p>
    <w:p w:rsidR="005634A8" w:rsidRPr="001353C6" w:rsidRDefault="00CF6CC6" w:rsidP="005634A8">
      <w:pPr>
        <w:rPr>
          <w:rFonts w:cs="Arial"/>
        </w:rPr>
      </w:pPr>
    </w:p>
    <w:p w:rsidR="005634A8" w:rsidRPr="001353C6" w:rsidRDefault="00CF6CC6" w:rsidP="005634A8">
      <w:pPr>
        <w:rPr>
          <w:rFonts w:cs="Arial"/>
        </w:rPr>
      </w:pPr>
    </w:p>
    <w:p w:rsidR="001353C6" w:rsidRPr="001353C6" w:rsidRDefault="00CF6CC6" w:rsidP="001353C6">
      <w:pPr>
        <w:jc w:val="both"/>
        <w:rPr>
          <w:rFonts w:cs="Arial"/>
          <w:b/>
          <w:bCs/>
        </w:rPr>
      </w:pPr>
      <w:r w:rsidRPr="001353C6">
        <w:rPr>
          <w:rFonts w:cs="Arial"/>
          <w:b/>
          <w:bCs/>
        </w:rPr>
        <w:t>OGGETTO:</w:t>
      </w:r>
    </w:p>
    <w:p w:rsidR="005634A8" w:rsidRDefault="00CF6CC6" w:rsidP="001353C6">
      <w:pPr>
        <w:jc w:val="both"/>
        <w:rPr>
          <w:rFonts w:cs="Arial"/>
        </w:rPr>
      </w:pPr>
      <w:bookmarkStart w:id="5" w:name="AttoOggetto"/>
      <w:r>
        <w:rPr>
          <w:rFonts w:cs="Arial"/>
        </w:rPr>
        <w:t xml:space="preserve">ESENZIONE CANONE UNICO PATRIMONIALE PER LE PRATICHE DI OCCUPAZIONE SUOLO PUBBLICO PRESENTATE AI FINI DEL </w:t>
      </w:r>
      <w:r>
        <w:rPr>
          <w:rFonts w:cs="Arial"/>
        </w:rPr>
        <w:t>RIPRISTINO DI EDIFICI DANNEGGIATI DALL’EVENTO METEOROLOGICO DEL 22 LUGLIO 2023.</w:t>
      </w:r>
      <w:bookmarkEnd w:id="5"/>
    </w:p>
    <w:p w:rsidR="001353C6" w:rsidRDefault="00CF6CC6" w:rsidP="001353C6">
      <w:pPr>
        <w:jc w:val="both"/>
        <w:rPr>
          <w:rFonts w:cs="Arial"/>
        </w:rPr>
      </w:pPr>
    </w:p>
    <w:p w:rsidR="001353C6" w:rsidRPr="001353C6" w:rsidRDefault="00CF6CC6" w:rsidP="001353C6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TESTO PROPOSTA</w:t>
      </w:r>
    </w:p>
    <w:p w:rsidR="001353C6" w:rsidRDefault="00CF6CC6" w:rsidP="001353C6">
      <w:pPr>
        <w:jc w:val="both"/>
        <w:rPr>
          <w:rFonts w:cs="Arial"/>
        </w:rPr>
      </w:pPr>
    </w:p>
    <w:p w:rsidR="00037B5D" w:rsidRPr="008A24B8" w:rsidRDefault="00CF6CC6" w:rsidP="00037B5D">
      <w:pPr>
        <w:autoSpaceDE w:val="0"/>
        <w:autoSpaceDN w:val="0"/>
        <w:adjustRightInd w:val="0"/>
        <w:jc w:val="both"/>
        <w:rPr>
          <w:rFonts w:cs="Arial"/>
          <w:bCs/>
          <w:color w:val="222222"/>
          <w:sz w:val="22"/>
        </w:rPr>
      </w:pPr>
      <w:bookmarkStart w:id="6" w:name="AttoTesto"/>
      <w:r w:rsidRPr="008A24B8">
        <w:rPr>
          <w:rFonts w:cs="Arial"/>
          <w:bCs/>
          <w:color w:val="222222"/>
          <w:sz w:val="22"/>
        </w:rPr>
        <w:t>Premesso che:</w:t>
      </w:r>
    </w:p>
    <w:p w:rsidR="00037B5D" w:rsidRPr="008A24B8" w:rsidRDefault="00CF6CC6" w:rsidP="00037B5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cs="Arial"/>
          <w:color w:val="000000"/>
          <w:sz w:val="22"/>
        </w:rPr>
      </w:pPr>
      <w:r w:rsidRPr="008A24B8">
        <w:rPr>
          <w:rFonts w:cs="Arial"/>
          <w:color w:val="000000"/>
          <w:sz w:val="22"/>
        </w:rPr>
        <w:t>con deliberazione del Consiglio comunale n. 9 del 27 Febbraio 2023, dichiarata immediatamente eseguibile, è stato approvato il Documento Unico di</w:t>
      </w:r>
      <w:r w:rsidRPr="008A24B8">
        <w:rPr>
          <w:rFonts w:cs="Arial"/>
          <w:color w:val="000000"/>
          <w:sz w:val="22"/>
        </w:rPr>
        <w:t xml:space="preserve"> Programmazione (DUP) 2023-2025 e i relativi allegati;</w:t>
      </w:r>
    </w:p>
    <w:p w:rsidR="00037B5D" w:rsidRPr="008A24B8" w:rsidRDefault="00CF6CC6" w:rsidP="00037B5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cs="Arial"/>
          <w:color w:val="000000"/>
          <w:sz w:val="22"/>
        </w:rPr>
      </w:pPr>
      <w:r w:rsidRPr="008A24B8">
        <w:rPr>
          <w:rFonts w:cs="Arial"/>
          <w:color w:val="000000"/>
          <w:sz w:val="22"/>
        </w:rPr>
        <w:t>con deliberazione del Consiglio comunale n. 17 del 14 Marzo 2023, dichiarata immediatamente eseguibile, è stato approvato il Bilancio di Previsione per gli esercizi 2023-2025 e relativi allegati;</w:t>
      </w:r>
    </w:p>
    <w:p w:rsidR="00037B5D" w:rsidRPr="008A24B8" w:rsidRDefault="00CF6CC6" w:rsidP="00037B5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cs="Arial"/>
          <w:color w:val="000000"/>
          <w:sz w:val="22"/>
        </w:rPr>
      </w:pPr>
      <w:r w:rsidRPr="008A24B8">
        <w:rPr>
          <w:rFonts w:cs="Arial"/>
          <w:color w:val="000000"/>
          <w:sz w:val="22"/>
        </w:rPr>
        <w:t>con d</w:t>
      </w:r>
      <w:r w:rsidRPr="008A24B8">
        <w:rPr>
          <w:rFonts w:cs="Arial"/>
          <w:color w:val="000000"/>
          <w:sz w:val="22"/>
        </w:rPr>
        <w:t>eliberazione della Giunta comunale n. 112 del 28 Marzo 2023, dichiarata immediatamente eseguibile, è stato approvato il Piano Esecutivo di Gestione (PEG) 2023-2025, affidando ai dirigenti le risorse finanziarie di entrata da acquisire e di spesa da impegna</w:t>
      </w:r>
      <w:r w:rsidRPr="008A24B8">
        <w:rPr>
          <w:rFonts w:cs="Arial"/>
          <w:color w:val="000000"/>
          <w:sz w:val="22"/>
        </w:rPr>
        <w:t>re, in attuazione delle linee generali di indirizzo impartite dall’amministrazione e per assicurare la gestione dei servizi dell’ente;</w:t>
      </w:r>
    </w:p>
    <w:p w:rsidR="00037B5D" w:rsidRPr="008A24B8" w:rsidRDefault="00CF6CC6" w:rsidP="00037B5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cs="Arial"/>
          <w:color w:val="222222"/>
          <w:sz w:val="22"/>
        </w:rPr>
      </w:pPr>
      <w:r w:rsidRPr="008A24B8">
        <w:rPr>
          <w:rFonts w:cs="Arial"/>
          <w:color w:val="000000"/>
          <w:sz w:val="22"/>
        </w:rPr>
        <w:t>con deliberazione della G</w:t>
      </w:r>
      <w:r w:rsidRPr="008A24B8">
        <w:rPr>
          <w:rFonts w:cs="Arial"/>
          <w:color w:val="222222"/>
          <w:sz w:val="22"/>
        </w:rPr>
        <w:t>iunta comunale n. 222 del 23 Maggio 2023 è stato approvato il Piano Integrato di Attività e Orga</w:t>
      </w:r>
      <w:r w:rsidRPr="008A24B8">
        <w:rPr>
          <w:rFonts w:cs="Arial"/>
          <w:color w:val="222222"/>
          <w:sz w:val="22"/>
        </w:rPr>
        <w:t>nizzazione (PIAO) 2023-2025 e relativi allegati;</w:t>
      </w:r>
    </w:p>
    <w:p w:rsidR="00037B5D" w:rsidRDefault="00CF6CC6" w:rsidP="00037B5D">
      <w:pPr>
        <w:jc w:val="both"/>
        <w:rPr>
          <w:rFonts w:cs="Arial"/>
          <w:sz w:val="22"/>
        </w:rPr>
      </w:pPr>
    </w:p>
    <w:p w:rsidR="00037B5D" w:rsidRDefault="00CF6CC6" w:rsidP="00037B5D">
      <w:pPr>
        <w:jc w:val="both"/>
        <w:rPr>
          <w:rFonts w:cs="Arial"/>
          <w:sz w:val="22"/>
        </w:rPr>
      </w:pPr>
      <w:r w:rsidRPr="00D8156A">
        <w:rPr>
          <w:rFonts w:cs="Arial"/>
          <w:sz w:val="22"/>
        </w:rPr>
        <w:t>Dato atto che, il giorno 22 luglio 2023 su tutto il territorio emiliano, si è verificato un evento meteorologico di straordinaria ed eccezionale intensità, con la caduta di grandine, raffiche di vento e for</w:t>
      </w:r>
      <w:r w:rsidRPr="00D8156A">
        <w:rPr>
          <w:rFonts w:cs="Arial"/>
          <w:sz w:val="22"/>
        </w:rPr>
        <w:t>te pioggia e che tale evento riporta le caratteristiche di una calamità naturale, in quanto la grandine ha cagionato danni gravi, diffusi e significativi agli edifici residenziali e non residenziali, in particolare a manti di copertura, infissi, facciate c</w:t>
      </w:r>
      <w:r w:rsidRPr="00D8156A">
        <w:rPr>
          <w:rFonts w:cs="Arial"/>
          <w:sz w:val="22"/>
        </w:rPr>
        <w:t>on tecnologia a cappotto, impianti tecnologici, oltre che alle carrozzerie dei veicoli;</w:t>
      </w:r>
    </w:p>
    <w:p w:rsidR="00037B5D" w:rsidRDefault="00CF6CC6" w:rsidP="00037B5D">
      <w:pPr>
        <w:jc w:val="both"/>
        <w:rPr>
          <w:rFonts w:cs="Arial"/>
          <w:sz w:val="22"/>
        </w:rPr>
      </w:pPr>
    </w:p>
    <w:p w:rsidR="00037B5D" w:rsidRPr="00D8156A" w:rsidRDefault="00CF6CC6" w:rsidP="00037B5D">
      <w:pPr>
        <w:jc w:val="both"/>
        <w:rPr>
          <w:rFonts w:cs="Arial"/>
          <w:sz w:val="22"/>
        </w:rPr>
      </w:pPr>
      <w:r w:rsidRPr="00D8156A">
        <w:rPr>
          <w:rFonts w:cs="Arial"/>
          <w:sz w:val="22"/>
        </w:rPr>
        <w:t>Richiamato il Decreto del Presidente della Regione Emilia-Romagna n. 122 del 27.7.2023, recante “Dichiarazione dello stato di crisi regionale per gli eventi meteorolog</w:t>
      </w:r>
      <w:r w:rsidRPr="00D8156A">
        <w:rPr>
          <w:rFonts w:cs="Arial"/>
          <w:sz w:val="22"/>
        </w:rPr>
        <w:t>ici che nel mese di luglio 2023 hanno colpito i territori delle province di Parma, Reggio Emilia, Modena, Bologna, Ferrara, Forlì- Cesena e Ravenna”;</w:t>
      </w:r>
    </w:p>
    <w:p w:rsidR="00037B5D" w:rsidRPr="00D8156A" w:rsidRDefault="00CF6CC6" w:rsidP="00037B5D">
      <w:pPr>
        <w:jc w:val="both"/>
        <w:rPr>
          <w:rFonts w:cs="Arial"/>
          <w:sz w:val="22"/>
        </w:rPr>
      </w:pPr>
    </w:p>
    <w:p w:rsidR="00037B5D" w:rsidRDefault="00CF6CC6" w:rsidP="00037B5D">
      <w:pPr>
        <w:jc w:val="both"/>
        <w:rPr>
          <w:rFonts w:cs="Arial"/>
          <w:sz w:val="22"/>
        </w:rPr>
      </w:pPr>
      <w:r>
        <w:rPr>
          <w:rFonts w:cs="Arial"/>
          <w:sz w:val="22"/>
        </w:rPr>
        <w:t>Considerato che:</w:t>
      </w:r>
    </w:p>
    <w:p w:rsidR="00037B5D" w:rsidRDefault="00CF6CC6" w:rsidP="00037B5D">
      <w:pPr>
        <w:numPr>
          <w:ilvl w:val="0"/>
          <w:numId w:val="3"/>
        </w:numPr>
        <w:jc w:val="both"/>
        <w:rPr>
          <w:rFonts w:cs="Arial"/>
          <w:sz w:val="22"/>
        </w:rPr>
      </w:pPr>
      <w:r w:rsidRPr="0059235D">
        <w:rPr>
          <w:rFonts w:cs="Arial"/>
          <w:sz w:val="22"/>
        </w:rPr>
        <w:t>la tipologia di danni consiste nella rottura degli elementi del manto di copertura, qual</w:t>
      </w:r>
      <w:r w:rsidRPr="0059235D">
        <w:rPr>
          <w:rFonts w:cs="Arial"/>
          <w:sz w:val="22"/>
        </w:rPr>
        <w:t>i coppi, tegole e lastre, con conseguente perdita di funzionalità del tetto per il contenimento e il deflusso delle acque meteoriche e quindi diviene necessario intervenire con l’esecuzione dei lavori di ripristino senza ritardo;</w:t>
      </w:r>
    </w:p>
    <w:p w:rsidR="00037B5D" w:rsidRPr="0059235D" w:rsidRDefault="00CF6CC6" w:rsidP="00037B5D">
      <w:pPr>
        <w:numPr>
          <w:ilvl w:val="0"/>
          <w:numId w:val="3"/>
        </w:numPr>
        <w:jc w:val="both"/>
        <w:rPr>
          <w:rFonts w:cs="Arial"/>
          <w:sz w:val="22"/>
        </w:rPr>
      </w:pPr>
      <w:r w:rsidRPr="0059235D">
        <w:rPr>
          <w:rFonts w:cs="Arial"/>
          <w:sz w:val="22"/>
        </w:rPr>
        <w:lastRenderedPageBreak/>
        <w:t>i soggetti privati, al fin</w:t>
      </w:r>
      <w:r w:rsidRPr="0059235D">
        <w:rPr>
          <w:rFonts w:cs="Arial"/>
          <w:sz w:val="22"/>
        </w:rPr>
        <w:t>e di attivare urgentemente i lavori di ripristino degli immobili, dovranno richiedere l’installazione di cantieri ed impalcature che potranno anche interessare l’occupazione di suolo pubblico e conseguentemente l’applicazione del relativo Canone Unico Patr</w:t>
      </w:r>
      <w:r w:rsidRPr="0059235D">
        <w:rPr>
          <w:rFonts w:cs="Arial"/>
          <w:sz w:val="22"/>
        </w:rPr>
        <w:t>imoniale di cui al Regolamento comunale vigente;</w:t>
      </w:r>
    </w:p>
    <w:p w:rsidR="00037B5D" w:rsidRDefault="00CF6CC6" w:rsidP="00037B5D">
      <w:pPr>
        <w:jc w:val="both"/>
        <w:rPr>
          <w:rFonts w:cs="Arial"/>
          <w:sz w:val="22"/>
        </w:rPr>
      </w:pPr>
    </w:p>
    <w:p w:rsidR="00037B5D" w:rsidRPr="00D8156A" w:rsidRDefault="00CF6CC6" w:rsidP="00037B5D">
      <w:pPr>
        <w:jc w:val="both"/>
        <w:rPr>
          <w:rFonts w:cs="Arial"/>
          <w:sz w:val="22"/>
        </w:rPr>
      </w:pPr>
      <w:r w:rsidRPr="00D8156A">
        <w:rPr>
          <w:rFonts w:cs="Arial"/>
          <w:sz w:val="22"/>
        </w:rPr>
        <w:t>Tenuto conto che è necessario fornire un concreto supporto alle famiglie ed imprese individuando misure idonee a contenere le spese e oneri amministrativi a carico dei soggetti danneggiati, considerata l’es</w:t>
      </w:r>
      <w:r w:rsidRPr="00D8156A">
        <w:rPr>
          <w:rFonts w:cs="Arial"/>
          <w:sz w:val="22"/>
        </w:rPr>
        <w:t>tesa e significativa stima del danno ai beni privati, e la sua conseguente rilevanza socio-economica a livello locale;</w:t>
      </w:r>
    </w:p>
    <w:p w:rsidR="00037B5D" w:rsidRPr="00D8156A" w:rsidRDefault="00CF6CC6" w:rsidP="00037B5D">
      <w:pPr>
        <w:jc w:val="both"/>
        <w:rPr>
          <w:rFonts w:cs="Arial"/>
          <w:sz w:val="22"/>
        </w:rPr>
      </w:pPr>
    </w:p>
    <w:p w:rsidR="00037B5D" w:rsidRDefault="00CF6CC6" w:rsidP="00037B5D">
      <w:pPr>
        <w:jc w:val="both"/>
        <w:rPr>
          <w:rFonts w:cs="Arial"/>
          <w:sz w:val="22"/>
        </w:rPr>
      </w:pPr>
      <w:r>
        <w:rPr>
          <w:rFonts w:cs="Arial"/>
          <w:sz w:val="22"/>
        </w:rPr>
        <w:t>Richiamato l’ultimo comma dell’art. 14 “Esenzioni”  - Parte II -  del “Regolamento per l’applicazione del Canone Patrimoniale di concess</w:t>
      </w:r>
      <w:r>
        <w:rPr>
          <w:rFonts w:cs="Arial"/>
          <w:sz w:val="22"/>
        </w:rPr>
        <w:t>ione autorizzazione o esposizione pubblicitaria” dove è data facoltà al Consiglio comunale di determinare annualmente ulteriori esenzioni specifiche, motivandone l'opportunità sulla base di situazioni contingenti e/o particolari, nel rispetto degli equilib</w:t>
      </w:r>
      <w:r>
        <w:rPr>
          <w:rFonts w:cs="Arial"/>
          <w:sz w:val="22"/>
        </w:rPr>
        <w:t>ri di bilancio e senza la necessità di una modifica del testo regolamentare;</w:t>
      </w:r>
    </w:p>
    <w:p w:rsidR="00037B5D" w:rsidRDefault="00CF6CC6" w:rsidP="00037B5D">
      <w:pPr>
        <w:jc w:val="both"/>
        <w:rPr>
          <w:rFonts w:cs="Arial"/>
          <w:sz w:val="22"/>
        </w:rPr>
      </w:pPr>
    </w:p>
    <w:p w:rsidR="00037B5D" w:rsidRDefault="00CF6CC6" w:rsidP="00037B5D">
      <w:pPr>
        <w:jc w:val="both"/>
        <w:rPr>
          <w:rFonts w:cs="Arial"/>
          <w:sz w:val="22"/>
        </w:rPr>
      </w:pPr>
      <w:r>
        <w:rPr>
          <w:rFonts w:cs="Arial"/>
          <w:sz w:val="22"/>
        </w:rPr>
        <w:t>Richiamate inoltre:</w:t>
      </w:r>
    </w:p>
    <w:p w:rsidR="00037B5D" w:rsidRPr="0059235D" w:rsidRDefault="00CF6CC6" w:rsidP="00037B5D">
      <w:pPr>
        <w:numPr>
          <w:ilvl w:val="0"/>
          <w:numId w:val="4"/>
        </w:numPr>
        <w:jc w:val="both"/>
        <w:rPr>
          <w:rFonts w:cs="Arial"/>
          <w:sz w:val="22"/>
        </w:rPr>
      </w:pPr>
      <w:r w:rsidRPr="0059235D">
        <w:rPr>
          <w:rFonts w:cs="Arial"/>
          <w:sz w:val="22"/>
        </w:rPr>
        <w:t>la deliberazione di Giunta Comunale 703 del 29/12/23 ad oggetto “APPROVAZIONE DELLE TARIFFE DEI SERVIZI PUBBLICI COMUNALI PER L’ANNO 2023” esecutiva;</w:t>
      </w:r>
    </w:p>
    <w:p w:rsidR="00037B5D" w:rsidRPr="00037B5D" w:rsidRDefault="00CF6CC6" w:rsidP="00037B5D">
      <w:pPr>
        <w:numPr>
          <w:ilvl w:val="0"/>
          <w:numId w:val="4"/>
        </w:numPr>
        <w:jc w:val="both"/>
        <w:rPr>
          <w:rFonts w:cs="Arial"/>
          <w:color w:val="FF0000"/>
          <w:sz w:val="22"/>
        </w:rPr>
      </w:pPr>
      <w:r w:rsidRPr="00037B5D">
        <w:rPr>
          <w:rFonts w:cs="Arial"/>
          <w:color w:val="FF0000"/>
          <w:sz w:val="22"/>
        </w:rPr>
        <w:t>la delib</w:t>
      </w:r>
      <w:r w:rsidRPr="00037B5D">
        <w:rPr>
          <w:rFonts w:cs="Arial"/>
          <w:color w:val="FF0000"/>
          <w:sz w:val="22"/>
        </w:rPr>
        <w:t xml:space="preserve">erazione di Giunta Comunale 2023 – …………….. del 12/9/2023 ad oggetto “ESENZIONE DAL VERSAMENTO DEI DIRITTI DI SEGRETERIA PER LE PRATICHE EDILIZIE E PAESAGGISTICHE, NONCHÈ PER LE ISTANZE DI ACCESSO AI DOCUMENTI AMMINISTRATIVI PRESENTATE PER IL RIPRISTINO DI </w:t>
      </w:r>
      <w:r w:rsidRPr="00037B5D">
        <w:rPr>
          <w:rFonts w:cs="Arial"/>
          <w:color w:val="FF0000"/>
          <w:sz w:val="22"/>
        </w:rPr>
        <w:t>EDIFICI DANNEGGIATI DALL’EVENTO METEOROLOGICO DEL 22 LUGLIO 2023.” esecutiva;</w:t>
      </w:r>
    </w:p>
    <w:p w:rsidR="00037B5D" w:rsidRPr="00D8156A" w:rsidRDefault="00CF6CC6" w:rsidP="00037B5D">
      <w:pPr>
        <w:ind w:left="720"/>
        <w:jc w:val="both"/>
        <w:rPr>
          <w:rFonts w:cs="Arial"/>
          <w:sz w:val="22"/>
        </w:rPr>
      </w:pPr>
    </w:p>
    <w:p w:rsidR="00037B5D" w:rsidRPr="0009760F" w:rsidRDefault="00CF6CC6" w:rsidP="00037B5D">
      <w:pPr>
        <w:autoSpaceDE w:val="0"/>
        <w:autoSpaceDN w:val="0"/>
        <w:adjustRightInd w:val="0"/>
        <w:jc w:val="both"/>
        <w:rPr>
          <w:rFonts w:cs="Arial"/>
          <w:sz w:val="22"/>
        </w:rPr>
      </w:pPr>
      <w:r>
        <w:rPr>
          <w:rFonts w:cs="Arial"/>
          <w:bCs/>
          <w:sz w:val="22"/>
        </w:rPr>
        <w:t>Ritenuto opportuno procedere, preso atto delle motivazioni sopra riportate, all’</w:t>
      </w:r>
      <w:r w:rsidRPr="0009760F">
        <w:rPr>
          <w:rFonts w:cs="Arial"/>
          <w:sz w:val="22"/>
        </w:rPr>
        <w:t>applicazione dell’ultimo comma dell’art.14 - Parte II - del Regolamento comunale sul Canone Unico</w:t>
      </w:r>
      <w:r w:rsidRPr="0009760F">
        <w:rPr>
          <w:rFonts w:cs="Arial"/>
          <w:sz w:val="22"/>
        </w:rPr>
        <w:t xml:space="preserve"> Patrimoniale, attraverso l’esenzione del versamento di tale canone per le sole pratiche relative all’occupazione di suolo pubblico effettuato da impalcature e cantieri destinati all’esecuzione di lavori di riparazione, ripristino, rinnovamento e sostituzi</w:t>
      </w:r>
      <w:r w:rsidRPr="0009760F">
        <w:rPr>
          <w:rFonts w:cs="Arial"/>
          <w:sz w:val="22"/>
        </w:rPr>
        <w:t xml:space="preserve">one di elementi edilizi danneggiati dall’evento meteorologico del 22/7/2023; </w:t>
      </w:r>
    </w:p>
    <w:p w:rsidR="00037B5D" w:rsidRPr="0009760F" w:rsidRDefault="00CF6CC6" w:rsidP="00037B5D">
      <w:pPr>
        <w:autoSpaceDE w:val="0"/>
        <w:autoSpaceDN w:val="0"/>
        <w:adjustRightInd w:val="0"/>
        <w:jc w:val="both"/>
        <w:rPr>
          <w:rFonts w:cs="Arial"/>
          <w:sz w:val="22"/>
        </w:rPr>
      </w:pPr>
    </w:p>
    <w:p w:rsidR="00037B5D" w:rsidRPr="00F27CD2" w:rsidRDefault="00CF6CC6" w:rsidP="00037B5D">
      <w:pPr>
        <w:autoSpaceDE w:val="0"/>
        <w:autoSpaceDN w:val="0"/>
        <w:adjustRightInd w:val="0"/>
        <w:jc w:val="both"/>
        <w:rPr>
          <w:rFonts w:cs="Arial"/>
          <w:sz w:val="22"/>
        </w:rPr>
      </w:pPr>
      <w:r w:rsidRPr="00F27CD2">
        <w:rPr>
          <w:rFonts w:cs="Arial"/>
          <w:bCs/>
          <w:sz w:val="22"/>
        </w:rPr>
        <w:t xml:space="preserve">Dato atto che </w:t>
      </w:r>
      <w:r w:rsidRPr="00F27CD2">
        <w:rPr>
          <w:rFonts w:cs="Arial"/>
          <w:sz w:val="22"/>
        </w:rPr>
        <w:t>il conseguente mancato introito del Canone Unico Patrimoniale riferito alle occupazioni di suolo pubblico di cui al punto precedente non incide sugli equilibri pro</w:t>
      </w:r>
      <w:r w:rsidRPr="00F27CD2">
        <w:rPr>
          <w:rFonts w:cs="Arial"/>
          <w:sz w:val="22"/>
        </w:rPr>
        <w:t>spettati dalle attuali previsioni di bilancio, in quanto l’evento in parola, e il connesso possibile incremento del flusso di pratiche, risultano eccezionali e non previsti in fase di programmazione;</w:t>
      </w:r>
    </w:p>
    <w:p w:rsidR="00037B5D" w:rsidRPr="00F27CD2" w:rsidRDefault="00CF6CC6" w:rsidP="00037B5D">
      <w:pPr>
        <w:autoSpaceDE w:val="0"/>
        <w:autoSpaceDN w:val="0"/>
        <w:adjustRightInd w:val="0"/>
        <w:jc w:val="both"/>
        <w:rPr>
          <w:rFonts w:cs="Arial"/>
          <w:sz w:val="22"/>
        </w:rPr>
      </w:pPr>
    </w:p>
    <w:p w:rsidR="00037B5D" w:rsidRPr="00F27CD2" w:rsidRDefault="00CF6CC6" w:rsidP="00037B5D">
      <w:pPr>
        <w:autoSpaceDE w:val="0"/>
        <w:autoSpaceDN w:val="0"/>
        <w:adjustRightInd w:val="0"/>
        <w:jc w:val="both"/>
        <w:rPr>
          <w:rFonts w:cs="Arial"/>
          <w:sz w:val="22"/>
        </w:rPr>
      </w:pPr>
      <w:r w:rsidRPr="00F27CD2">
        <w:rPr>
          <w:rFonts w:cs="Arial"/>
          <w:sz w:val="22"/>
        </w:rPr>
        <w:t>Visti :</w:t>
      </w:r>
    </w:p>
    <w:p w:rsidR="00037B5D" w:rsidRPr="00F27CD2" w:rsidRDefault="00CF6CC6" w:rsidP="00037B5D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Arial"/>
          <w:sz w:val="22"/>
        </w:rPr>
      </w:pPr>
      <w:r w:rsidRPr="00F27CD2">
        <w:rPr>
          <w:rFonts w:cs="Arial"/>
          <w:sz w:val="22"/>
        </w:rPr>
        <w:t xml:space="preserve">la Legge n. 212/2000 in materia di diritti del </w:t>
      </w:r>
      <w:r w:rsidRPr="00F27CD2">
        <w:rPr>
          <w:rFonts w:cs="Arial"/>
          <w:sz w:val="22"/>
        </w:rPr>
        <w:t>contribuente;</w:t>
      </w:r>
    </w:p>
    <w:p w:rsidR="00037B5D" w:rsidRPr="00F27CD2" w:rsidRDefault="00CF6CC6" w:rsidP="00037B5D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Arial"/>
          <w:sz w:val="22"/>
        </w:rPr>
      </w:pPr>
      <w:r w:rsidRPr="00F27CD2">
        <w:rPr>
          <w:rFonts w:cs="Arial"/>
          <w:sz w:val="22"/>
        </w:rPr>
        <w:t>il TUEL - D.Lgs 267/2000 e ss.mm.ii;</w:t>
      </w:r>
    </w:p>
    <w:p w:rsidR="00037B5D" w:rsidRPr="00F27CD2" w:rsidRDefault="00CF6CC6" w:rsidP="00037B5D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Arial"/>
          <w:sz w:val="22"/>
        </w:rPr>
      </w:pPr>
      <w:r w:rsidRPr="00F27CD2">
        <w:rPr>
          <w:rFonts w:cs="Arial"/>
          <w:sz w:val="22"/>
        </w:rPr>
        <w:t xml:space="preserve">il vigente regolamento sull’ordinamento degli uffici e servizi ( ROUS); </w:t>
      </w:r>
    </w:p>
    <w:p w:rsidR="00037B5D" w:rsidRPr="00F27CD2" w:rsidRDefault="00CF6CC6" w:rsidP="00037B5D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Arial"/>
          <w:sz w:val="22"/>
        </w:rPr>
      </w:pPr>
      <w:r w:rsidRPr="00F27CD2">
        <w:rPr>
          <w:rFonts w:cs="Arial"/>
          <w:sz w:val="22"/>
        </w:rPr>
        <w:t>il vigente regolamento di contabilità;</w:t>
      </w:r>
    </w:p>
    <w:p w:rsidR="00037B5D" w:rsidRPr="00F27CD2" w:rsidRDefault="00CF6CC6" w:rsidP="00037B5D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Arial"/>
          <w:sz w:val="22"/>
        </w:rPr>
      </w:pPr>
      <w:r w:rsidRPr="00F27CD2">
        <w:rPr>
          <w:rFonts w:cs="Arial"/>
          <w:sz w:val="22"/>
        </w:rPr>
        <w:t>il D. Lgs 118 del 2011 e s.m.i.;</w:t>
      </w:r>
    </w:p>
    <w:p w:rsidR="00037B5D" w:rsidRPr="00F27CD2" w:rsidRDefault="00CF6CC6" w:rsidP="00037B5D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Arial"/>
          <w:sz w:val="22"/>
        </w:rPr>
      </w:pPr>
      <w:r w:rsidRPr="00F27CD2">
        <w:rPr>
          <w:rFonts w:cs="Arial"/>
          <w:sz w:val="22"/>
        </w:rPr>
        <w:t>la legge di bilancio 2022 e ss.mm.ii;</w:t>
      </w:r>
    </w:p>
    <w:p w:rsidR="00037B5D" w:rsidRPr="00F27CD2" w:rsidRDefault="00CF6CC6" w:rsidP="00037B5D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Arial"/>
          <w:sz w:val="22"/>
        </w:rPr>
      </w:pPr>
      <w:r w:rsidRPr="00F27CD2">
        <w:rPr>
          <w:rFonts w:cs="Arial"/>
          <w:sz w:val="22"/>
        </w:rPr>
        <w:t>il vigente regolamento</w:t>
      </w:r>
      <w:r w:rsidRPr="00F27CD2">
        <w:rPr>
          <w:rFonts w:cs="Arial"/>
          <w:sz w:val="22"/>
        </w:rPr>
        <w:t xml:space="preserve"> di contabilità;</w:t>
      </w:r>
    </w:p>
    <w:p w:rsidR="00037B5D" w:rsidRPr="00F27CD2" w:rsidRDefault="00CF6CC6" w:rsidP="00037B5D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Arial"/>
          <w:sz w:val="22"/>
        </w:rPr>
      </w:pPr>
      <w:r w:rsidRPr="00F27CD2">
        <w:rPr>
          <w:rFonts w:cs="Arial"/>
          <w:sz w:val="22"/>
        </w:rPr>
        <w:t>la legge di bilancio 2022( L. 234/2021);</w:t>
      </w:r>
    </w:p>
    <w:p w:rsidR="00037B5D" w:rsidRPr="00F27CD2" w:rsidRDefault="00CF6CC6" w:rsidP="00037B5D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Arial"/>
          <w:sz w:val="22"/>
        </w:rPr>
      </w:pPr>
      <w:r w:rsidRPr="00F27CD2">
        <w:rPr>
          <w:rFonts w:cs="Arial"/>
          <w:sz w:val="22"/>
        </w:rPr>
        <w:t>il Regolamento “Canone Unico” e “Canone Mercatale” vigenti;</w:t>
      </w:r>
    </w:p>
    <w:p w:rsidR="00037B5D" w:rsidRPr="00F27CD2" w:rsidRDefault="00CF6CC6" w:rsidP="00037B5D">
      <w:pPr>
        <w:autoSpaceDE w:val="0"/>
        <w:autoSpaceDN w:val="0"/>
        <w:adjustRightInd w:val="0"/>
        <w:jc w:val="both"/>
        <w:rPr>
          <w:rFonts w:cs="Arial"/>
          <w:sz w:val="22"/>
        </w:rPr>
      </w:pPr>
    </w:p>
    <w:p w:rsidR="00037B5D" w:rsidRPr="00F27CD2" w:rsidRDefault="00CF6CC6" w:rsidP="00037B5D">
      <w:pPr>
        <w:autoSpaceDE w:val="0"/>
        <w:autoSpaceDN w:val="0"/>
        <w:adjustRightInd w:val="0"/>
        <w:jc w:val="both"/>
        <w:rPr>
          <w:rFonts w:cs="Arial"/>
          <w:sz w:val="22"/>
        </w:rPr>
      </w:pPr>
      <w:r w:rsidRPr="00F27CD2">
        <w:rPr>
          <w:rFonts w:cs="Arial"/>
          <w:sz w:val="22"/>
        </w:rPr>
        <w:t>Visti i pareri favorevoli rispettivamente espressi dal Dirigente del Settore Sviluppo Economico in ordine alla regolarità tecnica e dal D</w:t>
      </w:r>
      <w:r w:rsidRPr="00F27CD2">
        <w:rPr>
          <w:rFonts w:cs="Arial"/>
          <w:sz w:val="22"/>
        </w:rPr>
        <w:t>irigente del Settore Programmazione Finanziaria in ordine alla regolarità contabile, art. 49 – 1º comma - del T.U. delle Leggi sull’ordinamento degli Enti Locali – D. Lgs. 18/08/2000 n. 267;</w:t>
      </w:r>
    </w:p>
    <w:p w:rsidR="00037B5D" w:rsidRDefault="00CF6CC6" w:rsidP="00037B5D">
      <w:pPr>
        <w:jc w:val="both"/>
        <w:rPr>
          <w:rFonts w:cs="Arial"/>
          <w:sz w:val="22"/>
        </w:rPr>
      </w:pPr>
    </w:p>
    <w:p w:rsidR="00037B5D" w:rsidRPr="00D8156A" w:rsidRDefault="00CF6CC6" w:rsidP="00037B5D">
      <w:pPr>
        <w:pStyle w:val="Intestazione"/>
        <w:tabs>
          <w:tab w:val="clear" w:pos="4819"/>
          <w:tab w:val="clear" w:pos="9638"/>
          <w:tab w:val="num" w:pos="720"/>
          <w:tab w:val="left" w:pos="9540"/>
        </w:tabs>
        <w:jc w:val="both"/>
        <w:rPr>
          <w:rFonts w:ascii="Arial" w:hAnsi="Arial" w:cs="Arial"/>
          <w:sz w:val="22"/>
        </w:rPr>
      </w:pPr>
      <w:r w:rsidRPr="00D8156A">
        <w:rPr>
          <w:rFonts w:ascii="Arial" w:hAnsi="Arial" w:cs="Arial"/>
          <w:sz w:val="22"/>
        </w:rPr>
        <w:t>con il voto favorevole di tutti i presenti</w:t>
      </w:r>
    </w:p>
    <w:p w:rsidR="00037B5D" w:rsidRPr="00D8156A" w:rsidRDefault="00CF6CC6" w:rsidP="00037B5D">
      <w:pPr>
        <w:pStyle w:val="Intestazione"/>
        <w:tabs>
          <w:tab w:val="clear" w:pos="4819"/>
          <w:tab w:val="clear" w:pos="9638"/>
          <w:tab w:val="num" w:pos="720"/>
          <w:tab w:val="left" w:pos="9540"/>
        </w:tabs>
        <w:jc w:val="both"/>
        <w:rPr>
          <w:rFonts w:ascii="Arial" w:hAnsi="Arial" w:cs="Arial"/>
          <w:sz w:val="22"/>
        </w:rPr>
      </w:pPr>
    </w:p>
    <w:p w:rsidR="00037B5D" w:rsidRPr="00D8156A" w:rsidRDefault="00CF6CC6" w:rsidP="00037B5D">
      <w:pPr>
        <w:tabs>
          <w:tab w:val="left" w:pos="9540"/>
        </w:tabs>
        <w:ind w:right="998"/>
        <w:jc w:val="center"/>
        <w:rPr>
          <w:rFonts w:cs="Arial"/>
          <w:b/>
          <w:sz w:val="22"/>
        </w:rPr>
      </w:pPr>
      <w:r w:rsidRPr="00D8156A">
        <w:rPr>
          <w:rFonts w:cs="Arial"/>
          <w:b/>
          <w:sz w:val="22"/>
        </w:rPr>
        <w:t>D E L I B E R A</w:t>
      </w:r>
    </w:p>
    <w:p w:rsidR="00037B5D" w:rsidRPr="00D8156A" w:rsidRDefault="00CF6CC6" w:rsidP="00037B5D">
      <w:pPr>
        <w:tabs>
          <w:tab w:val="left" w:pos="9540"/>
        </w:tabs>
        <w:ind w:right="998"/>
        <w:jc w:val="center"/>
        <w:rPr>
          <w:rFonts w:cs="Arial"/>
          <w:b/>
          <w:sz w:val="22"/>
        </w:rPr>
      </w:pPr>
    </w:p>
    <w:p w:rsidR="00037B5D" w:rsidRPr="00D8156A" w:rsidRDefault="00CF6CC6" w:rsidP="00037B5D">
      <w:pPr>
        <w:autoSpaceDE w:val="0"/>
        <w:autoSpaceDN w:val="0"/>
        <w:adjustRightInd w:val="0"/>
        <w:rPr>
          <w:rFonts w:cs="Arial"/>
          <w:sz w:val="22"/>
        </w:rPr>
      </w:pPr>
      <w:r w:rsidRPr="00D8156A">
        <w:rPr>
          <w:rFonts w:cs="Arial"/>
          <w:sz w:val="22"/>
        </w:rPr>
        <w:t xml:space="preserve">di </w:t>
      </w:r>
      <w:r w:rsidRPr="00D8156A">
        <w:rPr>
          <w:rFonts w:cs="Arial"/>
          <w:sz w:val="22"/>
        </w:rPr>
        <w:t>richiamare le premesse quali parte integrante e sostanziale del presente atto;</w:t>
      </w:r>
    </w:p>
    <w:p w:rsidR="00037B5D" w:rsidRPr="00D8156A" w:rsidRDefault="00CF6CC6" w:rsidP="00037B5D">
      <w:pPr>
        <w:autoSpaceDE w:val="0"/>
        <w:autoSpaceDN w:val="0"/>
        <w:adjustRightInd w:val="0"/>
        <w:rPr>
          <w:rFonts w:cs="Arial"/>
          <w:sz w:val="22"/>
        </w:rPr>
      </w:pPr>
    </w:p>
    <w:p w:rsidR="00037B5D" w:rsidRPr="00D8156A" w:rsidRDefault="00CF6CC6" w:rsidP="00037B5D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cs="Arial"/>
          <w:sz w:val="22"/>
        </w:rPr>
      </w:pPr>
      <w:r w:rsidRPr="00D8156A">
        <w:rPr>
          <w:rFonts w:cs="Arial"/>
          <w:sz w:val="22"/>
        </w:rPr>
        <w:lastRenderedPageBreak/>
        <w:t>di stabilire l’esenzione del Canone Unico Patrimoniale limitatamente alle sole pratiche relative all’occupazione di suolo pubblico effettuato da impalcature e cantieri destinat</w:t>
      </w:r>
      <w:r w:rsidRPr="00D8156A">
        <w:rPr>
          <w:rFonts w:cs="Arial"/>
          <w:sz w:val="22"/>
        </w:rPr>
        <w:t>i all’esecuzione di lavori di riparazione, ripristino, rinnovamento e sostituzione di elementi edilizi danneggiati dall’evento meteorologico del 22/7/2023;</w:t>
      </w:r>
    </w:p>
    <w:p w:rsidR="00037B5D" w:rsidRPr="00D8156A" w:rsidRDefault="00CF6CC6" w:rsidP="00037B5D">
      <w:pPr>
        <w:autoSpaceDE w:val="0"/>
        <w:autoSpaceDN w:val="0"/>
        <w:adjustRightInd w:val="0"/>
        <w:jc w:val="both"/>
        <w:rPr>
          <w:rFonts w:cs="Arial"/>
          <w:sz w:val="22"/>
        </w:rPr>
      </w:pPr>
    </w:p>
    <w:p w:rsidR="00037B5D" w:rsidRDefault="00CF6CC6" w:rsidP="00037B5D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cs="Arial"/>
          <w:sz w:val="22"/>
        </w:rPr>
      </w:pPr>
      <w:r w:rsidRPr="00D8156A">
        <w:rPr>
          <w:rFonts w:cs="Arial"/>
          <w:sz w:val="22"/>
        </w:rPr>
        <w:t>di stabilire che, al fine di accedere a tale regime agevolato, sia necessario che l’interessato dic</w:t>
      </w:r>
      <w:r w:rsidRPr="00D8156A">
        <w:rPr>
          <w:rFonts w:cs="Arial"/>
          <w:sz w:val="22"/>
        </w:rPr>
        <w:t>hiari ai sensi degli articoli 46 e 47 del 28 dicembre 2000, n. 445 che sussiste nesso di causalità tra l’evento atmosferico avverso, il danno occorso al fabbricato, la necessità di provvedere alle riparazioni e la susseguente necessità di depositare le rel</w:t>
      </w:r>
      <w:r w:rsidRPr="00D8156A">
        <w:rPr>
          <w:rFonts w:cs="Arial"/>
          <w:sz w:val="22"/>
        </w:rPr>
        <w:t>ative istanze;</w:t>
      </w:r>
    </w:p>
    <w:p w:rsidR="00037B5D" w:rsidRDefault="00CF6CC6" w:rsidP="00037B5D">
      <w:pPr>
        <w:pStyle w:val="Paragrafoelenco"/>
        <w:rPr>
          <w:rFonts w:ascii="Arial" w:hAnsi="Arial" w:cs="Arial"/>
        </w:rPr>
      </w:pPr>
    </w:p>
    <w:p w:rsidR="00037B5D" w:rsidRPr="00D8156A" w:rsidRDefault="00CF6CC6" w:rsidP="00037B5D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cs="Arial"/>
          <w:sz w:val="22"/>
        </w:rPr>
      </w:pPr>
      <w:r w:rsidRPr="00E3175A">
        <w:rPr>
          <w:rFonts w:cs="Arial"/>
          <w:sz w:val="22"/>
        </w:rPr>
        <w:t>di dare mandato al dirigente del Settore Sviluppo Economico di approvare le idonee misure attuative della presente deliberazione, volte ad approvare la modulistica necessaria per l’esenzione, a darne adeguata pubblicità ed eventualmente a c</w:t>
      </w:r>
      <w:r w:rsidRPr="00E3175A">
        <w:rPr>
          <w:rFonts w:cs="Arial"/>
          <w:sz w:val="22"/>
        </w:rPr>
        <w:t>hiarire e specificare l’ambito di applicazione della presente misura straordinaria di esenzione;</w:t>
      </w:r>
    </w:p>
    <w:p w:rsidR="00037B5D" w:rsidRPr="00D8156A" w:rsidRDefault="00CF6CC6" w:rsidP="00037B5D">
      <w:pPr>
        <w:autoSpaceDE w:val="0"/>
        <w:autoSpaceDN w:val="0"/>
        <w:adjustRightInd w:val="0"/>
        <w:jc w:val="both"/>
        <w:rPr>
          <w:rFonts w:cs="Arial"/>
          <w:color w:val="FF0000"/>
          <w:sz w:val="22"/>
        </w:rPr>
      </w:pPr>
    </w:p>
    <w:p w:rsidR="00037B5D" w:rsidRPr="00F27CD2" w:rsidRDefault="00CF6CC6" w:rsidP="00037B5D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cs="Arial"/>
          <w:sz w:val="22"/>
        </w:rPr>
      </w:pPr>
      <w:r w:rsidRPr="00F27CD2">
        <w:rPr>
          <w:rFonts w:cs="Arial"/>
          <w:sz w:val="22"/>
        </w:rPr>
        <w:t>di dare atto che il responsabile del presente procedimento è la dott.ssa Elena Poschi i-dirigente del Settore Sviluppo Economico - in quanto procedimento affe</w:t>
      </w:r>
      <w:r w:rsidRPr="00F27CD2">
        <w:rPr>
          <w:rFonts w:cs="Arial"/>
          <w:sz w:val="22"/>
        </w:rPr>
        <w:t>rente le occupazioni di suolo nonché  quelle proprie dei mercati;</w:t>
      </w:r>
    </w:p>
    <w:p w:rsidR="00037B5D" w:rsidRPr="00D8156A" w:rsidRDefault="00CF6CC6" w:rsidP="00037B5D">
      <w:pPr>
        <w:autoSpaceDE w:val="0"/>
        <w:autoSpaceDN w:val="0"/>
        <w:adjustRightInd w:val="0"/>
        <w:rPr>
          <w:rFonts w:cs="Arial"/>
          <w:sz w:val="22"/>
        </w:rPr>
      </w:pPr>
    </w:p>
    <w:p w:rsidR="00037B5D" w:rsidRPr="00D8156A" w:rsidRDefault="00CF6CC6" w:rsidP="00037B5D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cs="Arial"/>
          <w:sz w:val="22"/>
        </w:rPr>
      </w:pPr>
      <w:r w:rsidRPr="00D8156A">
        <w:rPr>
          <w:rFonts w:cs="Arial"/>
          <w:sz w:val="22"/>
        </w:rPr>
        <w:t>di dichiarare il presente provvedimento immediatamente eseguibile ai sensi dell’art. 134, comma 4, D.Lgs. 267/2000, con voto favorevole di tutti i presenti.</w:t>
      </w:r>
    </w:p>
    <w:p w:rsidR="00150F63" w:rsidRPr="00037B5D" w:rsidRDefault="00CF6CC6" w:rsidP="00037B5D">
      <w:pPr>
        <w:rPr>
          <w:szCs w:val="24"/>
        </w:rPr>
      </w:pPr>
    </w:p>
    <w:bookmarkEnd w:id="6"/>
    <w:p w:rsidR="001353C6" w:rsidRDefault="00CF6CC6" w:rsidP="001353C6">
      <w:pPr>
        <w:jc w:val="both"/>
        <w:rPr>
          <w:rFonts w:cs="Arial"/>
        </w:rPr>
      </w:pPr>
    </w:p>
    <w:p w:rsidR="001353C6" w:rsidRDefault="00CF6CC6" w:rsidP="001353C6">
      <w:pPr>
        <w:jc w:val="both"/>
        <w:rPr>
          <w:rFonts w:cs="Arial"/>
        </w:rPr>
      </w:pPr>
    </w:p>
    <w:p w:rsidR="00B70963" w:rsidRDefault="00CF6CC6" w:rsidP="001353C6">
      <w:pPr>
        <w:jc w:val="both"/>
        <w:rPr>
          <w:rFonts w:cs="Arial"/>
        </w:rPr>
      </w:pPr>
    </w:p>
    <w:p w:rsidR="00B70963" w:rsidRDefault="00CF6CC6" w:rsidP="00B70963">
      <w:pPr>
        <w:jc w:val="center"/>
        <w:rPr>
          <w:rFonts w:cs="Arial"/>
          <w:b/>
          <w:bCs/>
        </w:rPr>
      </w:pPr>
      <w:bookmarkStart w:id="7" w:name="AdozioneTitoloFirma"/>
      <w:r w:rsidRPr="001353C6">
        <w:rPr>
          <w:rFonts w:cs="Arial"/>
          <w:b/>
          <w:bCs/>
        </w:rPr>
        <w:t>IL DIRIGENTE DEL SERVIZIO</w:t>
      </w:r>
      <w:bookmarkEnd w:id="7"/>
    </w:p>
    <w:p w:rsidR="00B70963" w:rsidRDefault="00CF6CC6" w:rsidP="00B70963">
      <w:pPr>
        <w:jc w:val="center"/>
        <w:rPr>
          <w:rFonts w:cs="Arial"/>
        </w:rPr>
      </w:pPr>
      <w:bookmarkStart w:id="8" w:name="AdozioneFirma"/>
      <w:r>
        <w:rPr>
          <w:rFonts w:cs="Arial"/>
        </w:rPr>
        <w:t>El</w:t>
      </w:r>
      <w:r>
        <w:rPr>
          <w:rFonts w:cs="Arial"/>
        </w:rPr>
        <w:t>ena Poschi / INFOCERT SPA</w:t>
      </w:r>
      <w:bookmarkEnd w:id="8"/>
    </w:p>
    <w:sectPr w:rsidR="00B70963" w:rsidSect="005309DA">
      <w:footerReference w:type="default" r:id="rId8"/>
      <w:pgSz w:w="11906" w:h="16838"/>
      <w:pgMar w:top="567" w:right="1134" w:bottom="1134" w:left="1134" w:header="720" w:footer="284" w:gutter="0"/>
      <w:cols w:space="720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CC6" w:rsidRDefault="00CF6CC6">
      <w:r>
        <w:separator/>
      </w:r>
    </w:p>
  </w:endnote>
  <w:endnote w:type="continuationSeparator" w:id="1">
    <w:p w:rsidR="00CF6CC6" w:rsidRDefault="00CF6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E55" w:rsidRDefault="00CF6CC6" w:rsidP="000416C7">
    <w:pPr>
      <w:pStyle w:val="Pidipagina"/>
      <w:jc w:val="center"/>
      <w:rPr>
        <w:rFonts w:ascii="Arial" w:hAnsi="Arial" w:cs="Arial"/>
        <w:b/>
        <w:bCs/>
        <w:i/>
        <w:iCs/>
        <w:color w:val="BFBFBF"/>
        <w:lang w:val="it-IT"/>
      </w:rPr>
    </w:pPr>
    <w:r w:rsidRPr="002C508B">
      <w:rPr>
        <w:rFonts w:ascii="Arial" w:hAnsi="Arial" w:cs="Arial"/>
        <w:b/>
        <w:bCs/>
        <w:i/>
        <w:iCs/>
        <w:color w:val="BFBFBF"/>
      </w:rPr>
      <w:t>Atto sottoscritto digitalmente secondo la normativa vigent</w:t>
    </w:r>
    <w:r>
      <w:rPr>
        <w:rFonts w:ascii="Arial" w:hAnsi="Arial" w:cs="Arial"/>
        <w:b/>
        <w:bCs/>
        <w:i/>
        <w:iCs/>
        <w:color w:val="BFBFBF"/>
        <w:lang w:val="it-IT"/>
      </w:rPr>
      <w:t>e</w:t>
    </w:r>
  </w:p>
  <w:p w:rsidR="00ED2E55" w:rsidRDefault="00CF6CC6" w:rsidP="000416C7">
    <w:pPr>
      <w:pStyle w:val="Pidipagina"/>
      <w:jc w:val="center"/>
      <w:rPr>
        <w:rFonts w:ascii="Arial" w:hAnsi="Arial" w:cs="Arial"/>
        <w:b/>
        <w:bCs/>
        <w:i/>
        <w:iCs/>
        <w:color w:val="BFBFBF"/>
        <w:lang w:val="it-I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CC6" w:rsidRDefault="00CF6CC6">
      <w:r>
        <w:separator/>
      </w:r>
    </w:p>
  </w:footnote>
  <w:footnote w:type="continuationSeparator" w:id="1">
    <w:p w:rsidR="00CF6CC6" w:rsidRDefault="00CF6C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hybridMultilevel"/>
    <w:tmpl w:val="6DF024A0"/>
    <w:lvl w:ilvl="0">
      <w:numFmt w:val="bullet"/>
      <w:lvlText w:val="-"/>
      <w:lvlJc w:val="left"/>
      <w:pPr>
        <w:ind w:left="720" w:hanging="360"/>
      </w:pPr>
      <w:rPr>
        <w:rFonts w:ascii="SymbolMT" w:eastAsia="Times New Roman" w:hAnsi="SymbolMT" w:cs="SymbolMT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910E4296"/>
    <w:lvl w:ilvl="0">
      <w:numFmt w:val="bullet"/>
      <w:lvlText w:val="-"/>
      <w:lvlJc w:val="left"/>
      <w:pPr>
        <w:ind w:left="779" w:hanging="360"/>
      </w:pPr>
      <w:rPr>
        <w:rFonts w:ascii="SymbolMT" w:eastAsia="Times New Roman" w:hAnsi="SymbolMT" w:cs="SymbolMT" w:hint="default"/>
      </w:rPr>
    </w:lvl>
    <w:lvl w:ilvl="1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3D125A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12744F70"/>
    <w:lvl w:ilvl="0">
      <w:numFmt w:val="bullet"/>
      <w:lvlText w:val="-"/>
      <w:lvlJc w:val="left"/>
      <w:pPr>
        <w:ind w:left="720" w:hanging="360"/>
      </w:pPr>
      <w:rPr>
        <w:rFonts w:ascii="SymbolMT" w:eastAsia="Times New Roman" w:hAnsi="SymbolMT" w:cs="SymbolMT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1618E54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283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1F6FAA"/>
    <w:rsid w:val="00C13971"/>
    <w:rsid w:val="00CF6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28B6"/>
    <w:pPr>
      <w:suppressAutoHyphens/>
    </w:pPr>
    <w:rPr>
      <w:rFonts w:ascii="Arial" w:hAnsi="Arial" w:cs="Verdana"/>
      <w:sz w:val="24"/>
      <w:szCs w:val="22"/>
      <w:lang w:eastAsia="zh-C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5634A8"/>
    <w:pPr>
      <w:tabs>
        <w:tab w:val="center" w:pos="4819"/>
        <w:tab w:val="right" w:pos="9638"/>
      </w:tabs>
      <w:suppressAutoHyphens w:val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idipaginaCarattere">
    <w:name w:val="Piè di pagina Carattere"/>
    <w:link w:val="Pidipagina"/>
    <w:rsid w:val="005634A8"/>
    <w:rPr>
      <w:rFonts w:ascii="Times New Roman" w:eastAsia="Times New Roman" w:hAnsi="Times New Roman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1353C6"/>
    <w:pPr>
      <w:tabs>
        <w:tab w:val="center" w:pos="4819"/>
        <w:tab w:val="right" w:pos="9638"/>
      </w:tabs>
    </w:pPr>
    <w:rPr>
      <w:rFonts w:ascii="Verdana" w:hAnsi="Verdana" w:cs="Times New Roman"/>
      <w:lang/>
    </w:rPr>
  </w:style>
  <w:style w:type="character" w:customStyle="1" w:styleId="IntestazioneCarattere">
    <w:name w:val="Intestazione Carattere"/>
    <w:link w:val="Intestazione"/>
    <w:uiPriority w:val="99"/>
    <w:rsid w:val="001353C6"/>
    <w:rPr>
      <w:rFonts w:ascii="Verdana" w:hAnsi="Verdana" w:cs="Verdana"/>
      <w:sz w:val="24"/>
      <w:szCs w:val="22"/>
      <w:lang w:eastAsia="zh-CN"/>
    </w:rPr>
  </w:style>
  <w:style w:type="paragraph" w:styleId="Paragrafoelenco">
    <w:name w:val="List Paragraph"/>
    <w:basedOn w:val="Normale"/>
    <w:qFormat/>
    <w:rsid w:val="00037B5D"/>
    <w:pPr>
      <w:spacing w:after="200" w:line="276" w:lineRule="auto"/>
      <w:ind w:left="720"/>
      <w:contextualSpacing/>
    </w:pPr>
    <w:rPr>
      <w:rFonts w:ascii="Calibri" w:hAnsi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6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Capetta</dc:creator>
  <cp:lastModifiedBy>Paola Marzola</cp:lastModifiedBy>
  <cp:revision>2</cp:revision>
  <cp:lastPrinted>2023-09-13T06:20:00Z</cp:lastPrinted>
  <dcterms:created xsi:type="dcterms:W3CDTF">2023-09-13T06:20:00Z</dcterms:created>
  <dcterms:modified xsi:type="dcterms:W3CDTF">2023-09-13T06:20:00Z</dcterms:modified>
</cp:coreProperties>
</file>