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8" w:rsidRPr="00E55266" w:rsidRDefault="005F4161" w:rsidP="005634A8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49530</wp:posOffset>
            </wp:positionV>
            <wp:extent cx="5994400" cy="1034415"/>
            <wp:effectExtent l="1905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1034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963" w:rsidRPr="00E55266" w:rsidRDefault="00004308" w:rsidP="00E55266">
      <w:pPr>
        <w:jc w:val="center"/>
        <w:rPr>
          <w:rFonts w:cs="Arial"/>
          <w:sz w:val="28"/>
          <w:szCs w:val="28"/>
        </w:rPr>
      </w:pPr>
      <w:bookmarkStart w:id="0" w:name="Settore"/>
      <w:r w:rsidRPr="00E55266">
        <w:rPr>
          <w:rFonts w:cs="Arial"/>
          <w:sz w:val="28"/>
          <w:szCs w:val="28"/>
        </w:rPr>
        <w:t>101 - DIREZIONE GENERALE</w:t>
      </w:r>
      <w:bookmarkEnd w:id="0"/>
    </w:p>
    <w:p w:rsidR="005634A8" w:rsidRPr="00E55266" w:rsidRDefault="00004308" w:rsidP="00E55266">
      <w:pPr>
        <w:jc w:val="center"/>
        <w:rPr>
          <w:rFonts w:cs="Arial"/>
          <w:sz w:val="28"/>
          <w:szCs w:val="28"/>
        </w:rPr>
      </w:pPr>
      <w:r w:rsidRPr="00E55266">
        <w:rPr>
          <w:rFonts w:cs="Arial"/>
          <w:sz w:val="28"/>
          <w:szCs w:val="28"/>
        </w:rPr>
        <w:t xml:space="preserve">RP </w:t>
      </w:r>
      <w:bookmarkStart w:id="1" w:name="Struttura"/>
      <w:r w:rsidRPr="00E55266">
        <w:rPr>
          <w:rFonts w:cs="Arial"/>
          <w:sz w:val="28"/>
          <w:szCs w:val="28"/>
        </w:rPr>
        <w:t>101 - DIREZIONE GENERALE</w:t>
      </w:r>
      <w:bookmarkEnd w:id="1"/>
    </w:p>
    <w:p w:rsidR="005634A8" w:rsidRDefault="00004308" w:rsidP="001353C6">
      <w:pPr>
        <w:jc w:val="center"/>
        <w:rPr>
          <w:rFonts w:cs="Arial"/>
        </w:rPr>
      </w:pPr>
    </w:p>
    <w:p w:rsidR="00B70963" w:rsidRPr="001353C6" w:rsidRDefault="00004308" w:rsidP="001353C6">
      <w:pPr>
        <w:jc w:val="center"/>
        <w:rPr>
          <w:rFonts w:cs="Arial"/>
        </w:rPr>
      </w:pPr>
    </w:p>
    <w:p w:rsidR="00D10FE0" w:rsidRDefault="00004308" w:rsidP="001353C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Proposta di Delibera di Consiglio Comunale</w:t>
      </w:r>
    </w:p>
    <w:p w:rsidR="005634A8" w:rsidRPr="001353C6" w:rsidRDefault="00004308" w:rsidP="001353C6">
      <w:pPr>
        <w:jc w:val="center"/>
        <w:rPr>
          <w:rFonts w:cs="Arial"/>
          <w:sz w:val="36"/>
          <w:szCs w:val="36"/>
        </w:rPr>
      </w:pPr>
      <w:bookmarkStart w:id="2" w:name="AttoAnno"/>
      <w:r>
        <w:rPr>
          <w:rFonts w:cs="Arial"/>
          <w:b/>
          <w:bCs/>
          <w:sz w:val="36"/>
          <w:szCs w:val="36"/>
        </w:rPr>
        <w:t>2023</w:t>
      </w:r>
      <w:bookmarkEnd w:id="2"/>
      <w:r w:rsidRPr="001353C6">
        <w:rPr>
          <w:rFonts w:cs="Arial"/>
          <w:b/>
          <w:bCs/>
          <w:sz w:val="36"/>
          <w:szCs w:val="36"/>
        </w:rPr>
        <w:t>-</w:t>
      </w:r>
      <w:bookmarkStart w:id="3" w:name="AttoNumero"/>
      <w:r>
        <w:rPr>
          <w:rFonts w:cs="Arial"/>
          <w:b/>
          <w:bCs/>
          <w:sz w:val="36"/>
          <w:szCs w:val="36"/>
        </w:rPr>
        <w:t>138</w:t>
      </w:r>
      <w:bookmarkEnd w:id="3"/>
      <w:r>
        <w:rPr>
          <w:rFonts w:cs="Arial"/>
          <w:b/>
          <w:bCs/>
          <w:sz w:val="36"/>
          <w:szCs w:val="36"/>
        </w:rPr>
        <w:t xml:space="preserve"> del </w:t>
      </w:r>
      <w:bookmarkStart w:id="4" w:name="AttoData"/>
      <w:r>
        <w:rPr>
          <w:rFonts w:cs="Arial"/>
          <w:b/>
          <w:bCs/>
          <w:sz w:val="36"/>
          <w:szCs w:val="36"/>
        </w:rPr>
        <w:t>05/12/2023</w:t>
      </w:r>
      <w:bookmarkEnd w:id="4"/>
    </w:p>
    <w:p w:rsidR="005634A8" w:rsidRPr="001353C6" w:rsidRDefault="00004308" w:rsidP="005634A8">
      <w:pPr>
        <w:rPr>
          <w:rFonts w:cs="Arial"/>
        </w:rPr>
      </w:pPr>
    </w:p>
    <w:p w:rsidR="005634A8" w:rsidRPr="001353C6" w:rsidRDefault="00004308" w:rsidP="005634A8">
      <w:pPr>
        <w:rPr>
          <w:rFonts w:cs="Arial"/>
        </w:rPr>
      </w:pPr>
    </w:p>
    <w:p w:rsidR="005634A8" w:rsidRPr="001353C6" w:rsidRDefault="00004308" w:rsidP="005634A8">
      <w:pPr>
        <w:rPr>
          <w:rFonts w:cs="Arial"/>
        </w:rPr>
      </w:pPr>
    </w:p>
    <w:p w:rsidR="001353C6" w:rsidRPr="001353C6" w:rsidRDefault="00004308" w:rsidP="001353C6">
      <w:pPr>
        <w:jc w:val="both"/>
        <w:rPr>
          <w:rFonts w:cs="Arial"/>
          <w:b/>
          <w:bCs/>
        </w:rPr>
      </w:pPr>
      <w:r w:rsidRPr="001353C6">
        <w:rPr>
          <w:rFonts w:cs="Arial"/>
          <w:b/>
          <w:bCs/>
        </w:rPr>
        <w:t>OGGETTO:</w:t>
      </w:r>
    </w:p>
    <w:p w:rsidR="005634A8" w:rsidRDefault="00004308" w:rsidP="001353C6">
      <w:pPr>
        <w:jc w:val="both"/>
        <w:rPr>
          <w:rFonts w:cs="Arial"/>
        </w:rPr>
      </w:pPr>
      <w:bookmarkStart w:id="5" w:name="AttoOggetto"/>
      <w:r>
        <w:rPr>
          <w:rFonts w:cs="Arial"/>
        </w:rPr>
        <w:t>APPROVAZIONE DELLA CONVENZIONE QUADRO TRA LE PUBBLICHE AMMINISTRAZIONI SOCIE PER L’ESERCIZIO DEL CONTROLLO ANALOGO CONGI</w:t>
      </w:r>
      <w:r>
        <w:rPr>
          <w:rFonts w:cs="Arial"/>
        </w:rPr>
        <w:t>UNTO DELLA SOCIETÀ LEPIDA S.C.P.A</w:t>
      </w:r>
      <w:bookmarkEnd w:id="5"/>
    </w:p>
    <w:p w:rsidR="001353C6" w:rsidRDefault="00004308" w:rsidP="001353C6">
      <w:pPr>
        <w:jc w:val="both"/>
        <w:rPr>
          <w:rFonts w:cs="Arial"/>
        </w:rPr>
      </w:pPr>
    </w:p>
    <w:p w:rsidR="001353C6" w:rsidRPr="001353C6" w:rsidRDefault="00004308" w:rsidP="001353C6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TESTO PROPOSTA</w:t>
      </w:r>
    </w:p>
    <w:p w:rsidR="001353C6" w:rsidRDefault="00004308" w:rsidP="001353C6">
      <w:pPr>
        <w:jc w:val="both"/>
        <w:rPr>
          <w:rFonts w:cs="Arial"/>
        </w:rPr>
      </w:pPr>
    </w:p>
    <w:p w:rsidR="008445F1" w:rsidRDefault="00004308" w:rsidP="008445F1">
      <w:pPr>
        <w:tabs>
          <w:tab w:val="left" w:pos="10632"/>
        </w:tabs>
        <w:ind w:right="-7"/>
        <w:jc w:val="both"/>
        <w:rPr>
          <w:rFonts w:cs="Arial"/>
          <w:b/>
          <w:szCs w:val="24"/>
        </w:rPr>
      </w:pPr>
      <w:bookmarkStart w:id="6" w:name="AttoTesto"/>
      <w:r w:rsidRPr="00FF5766">
        <w:rPr>
          <w:rFonts w:cs="Arial"/>
          <w:b/>
          <w:szCs w:val="24"/>
        </w:rPr>
        <w:t>Richiamati:</w:t>
      </w:r>
    </w:p>
    <w:p w:rsidR="00B7794E" w:rsidRPr="00FF5766" w:rsidRDefault="00B7794E" w:rsidP="008445F1">
      <w:pPr>
        <w:tabs>
          <w:tab w:val="left" w:pos="10632"/>
        </w:tabs>
        <w:ind w:right="-7"/>
        <w:jc w:val="both"/>
        <w:rPr>
          <w:rFonts w:cs="Arial"/>
          <w:b/>
          <w:szCs w:val="24"/>
        </w:rPr>
      </w:pPr>
    </w:p>
    <w:p w:rsidR="008445F1" w:rsidRDefault="00004308" w:rsidP="008445F1">
      <w:pPr>
        <w:pStyle w:val="Paragrafoelenco"/>
        <w:numPr>
          <w:ilvl w:val="0"/>
          <w:numId w:val="2"/>
        </w:numPr>
        <w:spacing w:before="0"/>
        <w:ind w:left="426" w:right="-7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l’art. 15, commi 1 e 2, della legge n. 241/1990, nonché l’art. 30 del D.Lgs. n. 267/2000, che prevedono che le Pubbliche Amministrazioni e gli Enti locali possano raggiungere accordi e/o conven</w:t>
      </w:r>
      <w:r w:rsidRPr="00FF5766">
        <w:rPr>
          <w:rFonts w:ascii="Arial" w:hAnsi="Arial" w:cs="Arial"/>
          <w:sz w:val="24"/>
          <w:szCs w:val="24"/>
        </w:rPr>
        <w:t>zioni per disciplinare e svolgere in collaborazione attività di interesse comune;</w:t>
      </w:r>
    </w:p>
    <w:p w:rsidR="008445F1" w:rsidRPr="00607841" w:rsidRDefault="00004308" w:rsidP="008445F1">
      <w:pPr>
        <w:pStyle w:val="Paragrafoelenco"/>
        <w:tabs>
          <w:tab w:val="left" w:pos="10632"/>
        </w:tabs>
        <w:spacing w:before="0"/>
        <w:ind w:left="426" w:right="-7" w:firstLine="0"/>
        <w:rPr>
          <w:rFonts w:ascii="Arial" w:hAnsi="Arial" w:cs="Arial"/>
          <w:sz w:val="24"/>
          <w:szCs w:val="24"/>
        </w:rPr>
      </w:pPr>
    </w:p>
    <w:p w:rsidR="008445F1" w:rsidRDefault="00004308" w:rsidP="008445F1">
      <w:pPr>
        <w:pStyle w:val="Paragrafoelenco"/>
        <w:numPr>
          <w:ilvl w:val="0"/>
          <w:numId w:val="3"/>
        </w:numPr>
        <w:spacing w:before="0"/>
        <w:ind w:left="426" w:right="-7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l’art.11 della legge regionale dell’Emilia-Romagna n. n. 1/2018 “Disposizione di coordinamento per la fusione per incorporazione di CUP 2000 s.c.p.a. in Lepida s.p.a.” che p</w:t>
      </w:r>
      <w:r w:rsidRPr="00FF5766">
        <w:rPr>
          <w:rFonts w:ascii="Arial" w:hAnsi="Arial" w:cs="Arial"/>
          <w:sz w:val="24"/>
          <w:szCs w:val="24"/>
        </w:rPr>
        <w:t xml:space="preserve">revede che: “1. Al fine di costituire un polo aggregatore dello sviluppo delle tecnologie dell'informazione e della comunicazione (ICT) regionale, l'autorizzazione alla partecipazione alla società Lepida s.p.a. di cui all'articolo 10 della legge regionale </w:t>
      </w:r>
      <w:r w:rsidRPr="00FF5766">
        <w:rPr>
          <w:rFonts w:ascii="Arial" w:hAnsi="Arial" w:cs="Arial"/>
          <w:sz w:val="24"/>
          <w:szCs w:val="24"/>
        </w:rPr>
        <w:t>n. 11 del 24 maggio 2004 (Sviluppo regionale della società dell'informazione) è subordinata alla condizione prevista dall'articolo 12 e alla fusione per incorporazione di CUP 2000 s.c.p.a. in Lepida s.p.a. A tal fine è altresì autorizzata la partecipazione</w:t>
      </w:r>
      <w:r w:rsidRPr="00FF5766">
        <w:rPr>
          <w:rFonts w:ascii="Arial" w:hAnsi="Arial" w:cs="Arial"/>
          <w:sz w:val="24"/>
          <w:szCs w:val="24"/>
        </w:rPr>
        <w:t xml:space="preserve"> anche in caso di contestuale trasformazione di Lepida s.p.a. in società consortile per azioni”;</w:t>
      </w:r>
    </w:p>
    <w:p w:rsidR="008445F1" w:rsidRPr="00607841" w:rsidRDefault="00004308" w:rsidP="008445F1">
      <w:pPr>
        <w:ind w:left="426" w:right="-7"/>
        <w:rPr>
          <w:rFonts w:cs="Arial"/>
          <w:szCs w:val="24"/>
        </w:rPr>
      </w:pPr>
    </w:p>
    <w:p w:rsidR="008445F1" w:rsidRPr="00FF5766" w:rsidRDefault="00004308" w:rsidP="008445F1">
      <w:pPr>
        <w:pStyle w:val="Paragrafoelenco"/>
        <w:numPr>
          <w:ilvl w:val="0"/>
          <w:numId w:val="3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l’art. 12 della legge regionale dell’Emilia-Romagna n. n. 1/2018 intitolato “Modifiche all'articolo 10 della legge regionale n. 11 del 2004” comma 1, introduc</w:t>
      </w:r>
      <w:r>
        <w:rPr>
          <w:rFonts w:ascii="Arial" w:hAnsi="Arial" w:cs="Arial"/>
          <w:sz w:val="24"/>
          <w:szCs w:val="24"/>
        </w:rPr>
        <w:t>e un nuovo comma 3 bis all'articolo 10 della legge regionale n. 11 del 2004 che dispone che l'oggetto sociale della nuova società preveda: “a) la costituzione di un polo aggregatore a supporto dei piani nello sviluppo dell'ICT regionale in termini di proge</w:t>
      </w:r>
      <w:r>
        <w:rPr>
          <w:rFonts w:ascii="Arial" w:hAnsi="Arial" w:cs="Arial"/>
          <w:sz w:val="24"/>
          <w:szCs w:val="24"/>
        </w:rPr>
        <w:t>ttazione, realizzazione, manutenzione, attivazione ed esercizio di infrastrutture e della gestione e dello sviluppo dei servizi per l'accesso e servizi a favore di cittadini, imprese e pubblica amministrazione, con una linea di alta specializzazione per lo</w:t>
      </w:r>
      <w:r>
        <w:rPr>
          <w:rFonts w:ascii="Arial" w:hAnsi="Arial" w:cs="Arial"/>
          <w:sz w:val="24"/>
          <w:szCs w:val="24"/>
        </w:rPr>
        <w:t xml:space="preserve"> sviluppo tecnologico ed innovativo della sanità e del sociale”; b) la fornitura di servizi derivanti dalle linee di indirizzo per lo sviluppo dell'ICT e dell'e-government di cui all'articolo 6; c) l'attività di formazione e di supporto tecnico nell'ambito</w:t>
      </w:r>
      <w:r>
        <w:rPr>
          <w:rFonts w:ascii="Arial" w:hAnsi="Arial" w:cs="Arial"/>
          <w:sz w:val="24"/>
          <w:szCs w:val="24"/>
        </w:rPr>
        <w:t xml:space="preserve"> dell'ICT; d) attività relative all'adozione di nuove tecnologie applicate al governo del territorio, </w:t>
      </w:r>
      <w:r>
        <w:rPr>
          <w:rFonts w:ascii="Arial" w:hAnsi="Arial" w:cs="Arial"/>
          <w:sz w:val="24"/>
          <w:szCs w:val="24"/>
        </w:rPr>
        <w:lastRenderedPageBreak/>
        <w:t>come quelle inerenti alle cosiddette smart cities";</w:t>
      </w:r>
    </w:p>
    <w:p w:rsidR="008445F1" w:rsidRPr="00FF5766" w:rsidRDefault="00004308" w:rsidP="008445F1">
      <w:pPr>
        <w:tabs>
          <w:tab w:val="left" w:pos="10632"/>
        </w:tabs>
        <w:ind w:left="426" w:right="-7"/>
        <w:jc w:val="both"/>
        <w:rPr>
          <w:rFonts w:cs="Arial"/>
          <w:b/>
          <w:szCs w:val="24"/>
        </w:rPr>
      </w:pPr>
    </w:p>
    <w:p w:rsidR="008445F1" w:rsidRDefault="00004308" w:rsidP="008445F1">
      <w:pPr>
        <w:tabs>
          <w:tab w:val="left" w:pos="10632"/>
        </w:tabs>
        <w:ind w:right="-7"/>
        <w:rPr>
          <w:rFonts w:cs="Arial"/>
          <w:b/>
          <w:szCs w:val="24"/>
        </w:rPr>
      </w:pPr>
      <w:r w:rsidRPr="00FF5766">
        <w:rPr>
          <w:rFonts w:cs="Arial"/>
          <w:b/>
          <w:szCs w:val="24"/>
        </w:rPr>
        <w:t>Considerato che:</w:t>
      </w:r>
    </w:p>
    <w:p w:rsidR="00B7794E" w:rsidRPr="00FF5766" w:rsidRDefault="00B7794E" w:rsidP="008445F1">
      <w:pPr>
        <w:tabs>
          <w:tab w:val="left" w:pos="10632"/>
        </w:tabs>
        <w:ind w:right="-7"/>
        <w:rPr>
          <w:rFonts w:cs="Arial"/>
          <w:b/>
          <w:szCs w:val="24"/>
        </w:rPr>
      </w:pPr>
    </w:p>
    <w:p w:rsidR="008445F1" w:rsidRDefault="00004308" w:rsidP="008445F1">
      <w:pPr>
        <w:pStyle w:val="Paragrafoelenco"/>
        <w:numPr>
          <w:ilvl w:val="0"/>
          <w:numId w:val="4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in data 19 dicembre 2018 è stato sottoscritto l’atto di fusione per incorporazione d</w:t>
      </w:r>
      <w:r w:rsidRPr="00FF5766">
        <w:rPr>
          <w:rFonts w:ascii="Arial" w:hAnsi="Arial" w:cs="Arial"/>
          <w:sz w:val="24"/>
          <w:szCs w:val="24"/>
        </w:rPr>
        <w:t>ella società Cup 2000 s.c.p.a. in Lepida s.p.a e contestuale trasformazione di Lepida s.p.a. in s.c.p.a., così come previsto dalla L.R. 1/2018;</w:t>
      </w:r>
    </w:p>
    <w:p w:rsidR="008445F1" w:rsidRPr="00FF5766" w:rsidRDefault="00004308" w:rsidP="008445F1">
      <w:pPr>
        <w:pStyle w:val="Paragrafoelenco"/>
        <w:tabs>
          <w:tab w:val="left" w:pos="426"/>
        </w:tabs>
        <w:spacing w:before="0"/>
        <w:ind w:left="426" w:right="-7" w:firstLine="0"/>
        <w:rPr>
          <w:rFonts w:ascii="Arial" w:hAnsi="Arial" w:cs="Arial"/>
          <w:sz w:val="24"/>
          <w:szCs w:val="24"/>
        </w:rPr>
      </w:pPr>
    </w:p>
    <w:p w:rsidR="008445F1" w:rsidRDefault="00004308" w:rsidP="008445F1">
      <w:pPr>
        <w:pStyle w:val="Paragrafoelenco"/>
        <w:numPr>
          <w:ilvl w:val="0"/>
          <w:numId w:val="4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ai sensi della legge regionale dell’Emilia-Romagna n. 11/2004, così come modificata dalla legge regionale dell’</w:t>
      </w:r>
      <w:r w:rsidRPr="00FF5766">
        <w:rPr>
          <w:rFonts w:ascii="Arial" w:hAnsi="Arial" w:cs="Arial"/>
          <w:sz w:val="24"/>
          <w:szCs w:val="24"/>
        </w:rPr>
        <w:t>Emilia-Romagna n..1/2018, Lepida s.c.p.a. ha capitale interamente pubblico, a prevalente partecipazione regionale e opera a favore della Regione e degli altri soci pubblici ai sensi della vigente normativa in materia di “in house providing”;</w:t>
      </w:r>
    </w:p>
    <w:p w:rsidR="008445F1" w:rsidRPr="00607841" w:rsidRDefault="00004308" w:rsidP="008445F1">
      <w:pPr>
        <w:tabs>
          <w:tab w:val="left" w:pos="426"/>
        </w:tabs>
        <w:ind w:left="426" w:right="-7"/>
        <w:rPr>
          <w:rFonts w:cs="Arial"/>
          <w:szCs w:val="24"/>
        </w:rPr>
      </w:pPr>
    </w:p>
    <w:p w:rsidR="008445F1" w:rsidRPr="00FF5766" w:rsidRDefault="00004308" w:rsidP="008445F1">
      <w:pPr>
        <w:pStyle w:val="Paragrafoelenco"/>
        <w:numPr>
          <w:ilvl w:val="0"/>
          <w:numId w:val="4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ai sensi di q</w:t>
      </w:r>
      <w:r>
        <w:rPr>
          <w:rFonts w:ascii="Arial" w:hAnsi="Arial" w:cs="Arial"/>
          <w:sz w:val="24"/>
          <w:szCs w:val="24"/>
        </w:rPr>
        <w:t>uanto previsto dall’art. 16 del D.Lgs.175/2016, dall’art. 7 del D.Lgs.36/2023 e dall’art. 3, c. 1, lett. e) dell’allegato I.1 al D.Lgs. 36/2023, per garantire la piena attuazione del “controllo analogo a quello esercitato sulle proprie strutture”, i soci i</w:t>
      </w:r>
      <w:r>
        <w:rPr>
          <w:rFonts w:ascii="Arial" w:hAnsi="Arial" w:cs="Arial"/>
          <w:sz w:val="24"/>
          <w:szCs w:val="24"/>
        </w:rPr>
        <w:t>ntendono disciplinare l’esercizio congiunto e coordinato dei poteri di indirizzo e di controllo di loro competenza su Lepida s.c.p.a, in conformità con il modello organizzativo di società in house providing, demandandolo al “Comitato Permanente di Indirizz</w:t>
      </w:r>
      <w:r>
        <w:rPr>
          <w:rFonts w:ascii="Arial" w:hAnsi="Arial" w:cs="Arial"/>
          <w:sz w:val="24"/>
          <w:szCs w:val="24"/>
        </w:rPr>
        <w:t>o e Coordinamento” (di seguito denominato CPI) secondo le disposizioni a tal proposito dettate dalla presente convenzione-quadro, avente natura pubblicistica;</w:t>
      </w:r>
    </w:p>
    <w:p w:rsidR="008445F1" w:rsidRPr="00FF5766" w:rsidRDefault="00004308" w:rsidP="008445F1">
      <w:pPr>
        <w:tabs>
          <w:tab w:val="left" w:pos="1339"/>
          <w:tab w:val="left" w:pos="10632"/>
        </w:tabs>
        <w:ind w:right="-7"/>
        <w:rPr>
          <w:rFonts w:cs="Arial"/>
          <w:szCs w:val="24"/>
        </w:rPr>
      </w:pPr>
    </w:p>
    <w:p w:rsidR="008445F1" w:rsidRDefault="00004308" w:rsidP="008445F1">
      <w:pPr>
        <w:tabs>
          <w:tab w:val="left" w:pos="10632"/>
        </w:tabs>
        <w:ind w:right="-7"/>
        <w:jc w:val="both"/>
        <w:rPr>
          <w:rFonts w:cs="Arial"/>
          <w:b/>
          <w:szCs w:val="24"/>
        </w:rPr>
      </w:pPr>
      <w:r w:rsidRPr="00FF5766">
        <w:rPr>
          <w:rFonts w:cs="Arial"/>
          <w:b/>
          <w:szCs w:val="24"/>
        </w:rPr>
        <w:t xml:space="preserve">Rilevato che: </w:t>
      </w:r>
    </w:p>
    <w:p w:rsidR="00B7794E" w:rsidRPr="00FF5766" w:rsidRDefault="00B7794E" w:rsidP="008445F1">
      <w:pPr>
        <w:tabs>
          <w:tab w:val="left" w:pos="10632"/>
        </w:tabs>
        <w:ind w:right="-7"/>
        <w:jc w:val="both"/>
        <w:rPr>
          <w:rFonts w:cs="Arial"/>
          <w:b/>
          <w:szCs w:val="24"/>
        </w:rPr>
      </w:pPr>
    </w:p>
    <w:p w:rsidR="008445F1" w:rsidRDefault="00004308" w:rsidP="008445F1">
      <w:pPr>
        <w:pStyle w:val="Paragrafoelenco"/>
        <w:numPr>
          <w:ilvl w:val="0"/>
          <w:numId w:val="5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CPI rappresenta la sede del coordinamento dei soci, d’informazione, di consult</w:t>
      </w:r>
      <w:r>
        <w:rPr>
          <w:rFonts w:ascii="Arial" w:hAnsi="Arial" w:cs="Arial"/>
          <w:sz w:val="24"/>
          <w:szCs w:val="24"/>
        </w:rPr>
        <w:t>azione, di valutazione e verifica, di controllo preventivo, contestuale, successivo e ispettivo, ai fini dell’esercizio del controllo analogo congiunto sulla gestione e amministrazione della società;</w:t>
      </w:r>
    </w:p>
    <w:p w:rsidR="008445F1" w:rsidRPr="00FF5766" w:rsidRDefault="00004308" w:rsidP="008445F1">
      <w:pPr>
        <w:pStyle w:val="Paragrafoelenco"/>
        <w:tabs>
          <w:tab w:val="left" w:pos="426"/>
        </w:tabs>
        <w:spacing w:before="0"/>
        <w:ind w:left="426" w:right="-7" w:firstLine="0"/>
        <w:rPr>
          <w:rFonts w:ascii="Arial" w:hAnsi="Arial" w:cs="Arial"/>
          <w:sz w:val="24"/>
          <w:szCs w:val="24"/>
        </w:rPr>
      </w:pPr>
    </w:p>
    <w:p w:rsidR="008445F1" w:rsidRPr="00FF5766" w:rsidRDefault="00004308" w:rsidP="008445F1">
      <w:pPr>
        <w:pStyle w:val="Paragrafoelenco"/>
        <w:numPr>
          <w:ilvl w:val="0"/>
          <w:numId w:val="5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al CPI spetta la disamina e l’approvazione preventiva d</w:t>
      </w:r>
      <w:r w:rsidRPr="00FF5766">
        <w:rPr>
          <w:rFonts w:ascii="Arial" w:hAnsi="Arial" w:cs="Arial"/>
          <w:sz w:val="24"/>
          <w:szCs w:val="24"/>
        </w:rPr>
        <w:t>ei seguenti atti e delle loro eventuali modificazioni: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 xml:space="preserve">indirizzi strategici valevoli per il mandato dei rappresentanti degli enti soci nominati nell’organo di amministrazione, al fine di assicurare la coerenza tra le competenze esercitate e le funzioni di </w:t>
      </w:r>
      <w:r w:rsidRPr="00FF5766">
        <w:rPr>
          <w:rFonts w:ascii="Arial" w:hAnsi="Arial" w:cs="Arial"/>
          <w:sz w:val="24"/>
          <w:szCs w:val="24"/>
        </w:rPr>
        <w:t>indirizzo e controllo spettanti ai soci;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indirizzi e obiettivi strategici per lo sviluppo delle attività della Società;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piano industriale;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meccanismi per il reperimento e l’utilizzo delle risorse;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budget economico e patrimoniale;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piano degli investimenti f</w:t>
      </w:r>
      <w:r w:rsidRPr="00FF5766">
        <w:rPr>
          <w:rFonts w:ascii="Arial" w:hAnsi="Arial" w:cs="Arial"/>
          <w:sz w:val="24"/>
          <w:szCs w:val="24"/>
        </w:rPr>
        <w:t>inanziari;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piano delle alienazioni/acquisizioni di beni immobili;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modifiche relative all’organigramma delle Società qualora queste comportino un incremento delle posizioni dirigenziali o una diversa strutturazione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delle macro-divisioni aziendali;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relazione</w:t>
      </w:r>
      <w:r w:rsidRPr="00FF5766">
        <w:rPr>
          <w:rFonts w:ascii="Arial" w:hAnsi="Arial" w:cs="Arial"/>
          <w:sz w:val="24"/>
          <w:szCs w:val="24"/>
        </w:rPr>
        <w:t xml:space="preserve"> semestrale, conguaglio consortile e bilancio di esercizio;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 xml:space="preserve"> modifica dello statuto;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programma di reclutamento di personale;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programma di acquisizione di beni e servizi e di affidamento dei lavori;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 xml:space="preserve">criteri omogenei di remunerazione delle attività svolte a </w:t>
      </w:r>
      <w:r w:rsidRPr="00FF5766">
        <w:rPr>
          <w:rFonts w:ascii="Arial" w:hAnsi="Arial" w:cs="Arial"/>
          <w:sz w:val="24"/>
          <w:szCs w:val="24"/>
        </w:rPr>
        <w:t>favore dei soci;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listini dei servizi offerti dalla Società;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criteri di controllo sulla qualità, sull’efficacia, l’efficienza e la congruità dei servizi;</w:t>
      </w:r>
    </w:p>
    <w:p w:rsidR="008445F1" w:rsidRPr="00FF5766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livelli di servizio (SLA) dei servizi offerti dalla Società a tutti gli Enti;</w:t>
      </w:r>
    </w:p>
    <w:p w:rsidR="008445F1" w:rsidRDefault="00004308" w:rsidP="008445F1">
      <w:pPr>
        <w:pStyle w:val="Paragrafoelenco"/>
        <w:numPr>
          <w:ilvl w:val="1"/>
          <w:numId w:val="6"/>
        </w:numPr>
        <w:tabs>
          <w:tab w:val="left" w:pos="851"/>
          <w:tab w:val="left" w:pos="10632"/>
        </w:tabs>
        <w:spacing w:before="0"/>
        <w:ind w:left="851" w:right="-7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ogni ulteriore atto neces</w:t>
      </w:r>
      <w:r>
        <w:rPr>
          <w:rFonts w:ascii="Arial" w:hAnsi="Arial" w:cs="Arial"/>
          <w:sz w:val="24"/>
          <w:szCs w:val="24"/>
        </w:rPr>
        <w:t xml:space="preserve">sario per corrispondere alle esigenze informative dei soci, </w:t>
      </w:r>
      <w:r>
        <w:rPr>
          <w:rFonts w:ascii="Arial" w:hAnsi="Arial" w:cs="Arial"/>
          <w:sz w:val="24"/>
          <w:szCs w:val="24"/>
        </w:rPr>
        <w:lastRenderedPageBreak/>
        <w:t>in relazione agli adempimenti imposti dalla normativa vigente;</w:t>
      </w:r>
    </w:p>
    <w:p w:rsidR="008445F1" w:rsidRPr="00607841" w:rsidRDefault="00004308" w:rsidP="008445F1">
      <w:pPr>
        <w:tabs>
          <w:tab w:val="left" w:pos="1339"/>
          <w:tab w:val="left" w:pos="10632"/>
        </w:tabs>
        <w:ind w:left="567" w:right="-7"/>
        <w:rPr>
          <w:rFonts w:cs="Arial"/>
          <w:szCs w:val="24"/>
        </w:rPr>
      </w:pPr>
    </w:p>
    <w:p w:rsidR="008445F1" w:rsidRDefault="00004308" w:rsidP="008445F1">
      <w:pPr>
        <w:pStyle w:val="Paragrafoelenco"/>
        <w:numPr>
          <w:ilvl w:val="0"/>
          <w:numId w:val="7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criteri definiti per la composizione del CPI sono volti ad assicurare e a valorizzare la rappresentanza degli Enti locali territor</w:t>
      </w:r>
      <w:r>
        <w:rPr>
          <w:rFonts w:ascii="Arial" w:hAnsi="Arial" w:cs="Arial"/>
          <w:sz w:val="24"/>
          <w:szCs w:val="24"/>
        </w:rPr>
        <w:t>iali, su base provinciale, e la rappresentanza di tutti gli altri Enti soci, secondo le diverse tipologie di Ente nonché a garantire un sostanziale equo bilanciamento nella rappresentanza del Comparto sanitario rispetto a quello complessivamente considerat</w:t>
      </w:r>
      <w:r>
        <w:rPr>
          <w:rFonts w:ascii="Arial" w:hAnsi="Arial" w:cs="Arial"/>
          <w:sz w:val="24"/>
          <w:szCs w:val="24"/>
        </w:rPr>
        <w:t>o degli altri Enti;</w:t>
      </w:r>
    </w:p>
    <w:p w:rsidR="008445F1" w:rsidRPr="00FF5766" w:rsidRDefault="00004308" w:rsidP="008445F1">
      <w:pPr>
        <w:pStyle w:val="Paragrafoelenco"/>
        <w:tabs>
          <w:tab w:val="left" w:pos="426"/>
        </w:tabs>
        <w:spacing w:before="0"/>
        <w:ind w:left="426" w:right="-7" w:firstLine="0"/>
        <w:rPr>
          <w:rFonts w:ascii="Arial" w:hAnsi="Arial" w:cs="Arial"/>
          <w:sz w:val="24"/>
          <w:szCs w:val="24"/>
        </w:rPr>
      </w:pPr>
    </w:p>
    <w:p w:rsidR="008445F1" w:rsidRPr="00FF5766" w:rsidRDefault="00004308" w:rsidP="008445F1">
      <w:pPr>
        <w:pStyle w:val="Paragrafoelenco"/>
        <w:numPr>
          <w:ilvl w:val="0"/>
          <w:numId w:val="7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la durata della Convenzione Quadro è fissata in cinque anni, fino al 31/01/2029 ed è rinnovabile per un massimo di ulteriori cinque anni.</w:t>
      </w:r>
    </w:p>
    <w:p w:rsidR="008445F1" w:rsidRPr="00FF5766" w:rsidRDefault="00004308" w:rsidP="008445F1">
      <w:pPr>
        <w:tabs>
          <w:tab w:val="left" w:pos="10632"/>
        </w:tabs>
        <w:ind w:right="-7"/>
        <w:jc w:val="both"/>
        <w:rPr>
          <w:rFonts w:cs="Arial"/>
          <w:b/>
          <w:szCs w:val="24"/>
        </w:rPr>
      </w:pPr>
    </w:p>
    <w:p w:rsidR="008445F1" w:rsidRDefault="00004308" w:rsidP="008445F1">
      <w:pPr>
        <w:tabs>
          <w:tab w:val="left" w:pos="10632"/>
        </w:tabs>
        <w:ind w:right="-7"/>
        <w:jc w:val="both"/>
        <w:rPr>
          <w:rFonts w:cs="Arial"/>
          <w:b/>
          <w:szCs w:val="24"/>
        </w:rPr>
      </w:pPr>
      <w:r w:rsidRPr="00FF5766">
        <w:rPr>
          <w:rFonts w:cs="Arial"/>
          <w:b/>
          <w:szCs w:val="24"/>
        </w:rPr>
        <w:t>Tenuto conto che:</w:t>
      </w:r>
    </w:p>
    <w:p w:rsidR="00B7794E" w:rsidRPr="00FF5766" w:rsidRDefault="00B7794E" w:rsidP="008445F1">
      <w:pPr>
        <w:tabs>
          <w:tab w:val="left" w:pos="10632"/>
        </w:tabs>
        <w:ind w:right="-7"/>
        <w:jc w:val="both"/>
        <w:rPr>
          <w:rFonts w:cs="Arial"/>
          <w:b/>
          <w:szCs w:val="24"/>
        </w:rPr>
      </w:pPr>
    </w:p>
    <w:p w:rsidR="008445F1" w:rsidRDefault="00004308" w:rsidP="008445F1">
      <w:pPr>
        <w:pStyle w:val="Paragrafoelenco"/>
        <w:numPr>
          <w:ilvl w:val="0"/>
          <w:numId w:val="8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Il Comune di Ferrara è socio di LEPIDA S.c.p.a. dal 31/12/2009, della quale at</w:t>
      </w:r>
      <w:r w:rsidRPr="00FF5766">
        <w:rPr>
          <w:rFonts w:ascii="Arial" w:hAnsi="Arial" w:cs="Arial"/>
          <w:sz w:val="24"/>
          <w:szCs w:val="24"/>
        </w:rPr>
        <w:t>tualmente detiene n. 6 azioni per un valore complessivo di € 6.000,00, pari allo 0,0086% del capitale sociale;</w:t>
      </w:r>
    </w:p>
    <w:p w:rsidR="008445F1" w:rsidRPr="00607841" w:rsidRDefault="00004308" w:rsidP="008445F1">
      <w:pPr>
        <w:pStyle w:val="Paragrafoelenco"/>
        <w:tabs>
          <w:tab w:val="left" w:pos="426"/>
        </w:tabs>
        <w:spacing w:before="0"/>
        <w:ind w:left="426" w:right="-7" w:firstLine="0"/>
        <w:rPr>
          <w:rFonts w:ascii="Arial" w:hAnsi="Arial" w:cs="Arial"/>
          <w:sz w:val="24"/>
          <w:szCs w:val="24"/>
        </w:rPr>
      </w:pPr>
    </w:p>
    <w:p w:rsidR="008445F1" w:rsidRPr="00FF5766" w:rsidRDefault="00004308" w:rsidP="008445F1">
      <w:pPr>
        <w:pStyle w:val="Paragrafoelenco"/>
        <w:numPr>
          <w:ilvl w:val="0"/>
          <w:numId w:val="8"/>
        </w:numPr>
        <w:tabs>
          <w:tab w:val="left" w:pos="426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 w:rsidRPr="00FF5766">
        <w:rPr>
          <w:rFonts w:ascii="Arial" w:hAnsi="Arial" w:cs="Arial"/>
          <w:sz w:val="24"/>
          <w:szCs w:val="24"/>
        </w:rPr>
        <w:t>l’attuale Convenzione quadro sul Controllo analogo congiunto scade il 31/01/2024 e che è quindi necessario procedere ad un rinnovo da parte degl</w:t>
      </w:r>
      <w:r w:rsidRPr="00FF5766">
        <w:rPr>
          <w:rFonts w:ascii="Arial" w:hAnsi="Arial" w:cs="Arial"/>
          <w:sz w:val="24"/>
          <w:szCs w:val="24"/>
        </w:rPr>
        <w:t>i Enti soci aderenti;</w:t>
      </w:r>
    </w:p>
    <w:p w:rsidR="008445F1" w:rsidRPr="00FF5766" w:rsidRDefault="00004308" w:rsidP="008445F1">
      <w:pPr>
        <w:tabs>
          <w:tab w:val="left" w:pos="1339"/>
          <w:tab w:val="left" w:pos="10632"/>
        </w:tabs>
        <w:ind w:right="-7"/>
        <w:rPr>
          <w:rFonts w:cs="Arial"/>
          <w:szCs w:val="24"/>
        </w:rPr>
      </w:pPr>
    </w:p>
    <w:p w:rsidR="008445F1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  <w:r w:rsidRPr="00FF5766">
        <w:rPr>
          <w:rFonts w:cs="Arial"/>
          <w:b/>
          <w:szCs w:val="24"/>
        </w:rPr>
        <w:t xml:space="preserve">Ritenuto </w:t>
      </w:r>
      <w:r w:rsidRPr="00FF5766">
        <w:rPr>
          <w:rFonts w:cs="Arial"/>
          <w:szCs w:val="24"/>
        </w:rPr>
        <w:t xml:space="preserve">per tutto quanto espresso in premessa di dover procedere all’approvazione della Convenzione Quadro tra le Pubbliche Amministrazioni socie per l’esercizio del controllo analogo congiunto della Società LEPIDA S.c.p.a allegata </w:t>
      </w:r>
      <w:r w:rsidRPr="00FF5766">
        <w:rPr>
          <w:rFonts w:cs="Arial"/>
          <w:szCs w:val="24"/>
        </w:rPr>
        <w:t>al presente provvedimento a far parte integrante dello stesso;</w:t>
      </w:r>
    </w:p>
    <w:p w:rsidR="008445F1" w:rsidRPr="00FF5766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</w:p>
    <w:p w:rsidR="008445F1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  <w:r w:rsidRPr="00FF5766">
        <w:rPr>
          <w:rFonts w:cs="Arial"/>
          <w:b/>
          <w:szCs w:val="24"/>
        </w:rPr>
        <w:t xml:space="preserve">Specificato </w:t>
      </w:r>
      <w:r>
        <w:rPr>
          <w:rFonts w:cs="Arial"/>
          <w:szCs w:val="24"/>
        </w:rPr>
        <w:t>che il presente provvedimento non comporta onere alcuno per l’Amministrazione Comunale;</w:t>
      </w:r>
    </w:p>
    <w:p w:rsidR="008445F1" w:rsidRPr="00FF5766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</w:p>
    <w:p w:rsidR="008445F1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  <w:r w:rsidRPr="00FF5766">
        <w:rPr>
          <w:rFonts w:cs="Arial"/>
          <w:b/>
          <w:szCs w:val="24"/>
        </w:rPr>
        <w:t xml:space="preserve">Visto </w:t>
      </w:r>
      <w:r>
        <w:rPr>
          <w:rFonts w:cs="Arial"/>
          <w:szCs w:val="24"/>
        </w:rPr>
        <w:t>l’art. 42 del D.Lgs. 18/8/2000, n. 267;</w:t>
      </w:r>
    </w:p>
    <w:p w:rsidR="008445F1" w:rsidRPr="00FF5766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</w:p>
    <w:p w:rsidR="008445F1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  <w:r w:rsidRPr="00FF5766">
        <w:rPr>
          <w:rFonts w:cs="Arial"/>
          <w:b/>
          <w:szCs w:val="24"/>
        </w:rPr>
        <w:t xml:space="preserve">Visti </w:t>
      </w:r>
      <w:r w:rsidRPr="00FF5766">
        <w:rPr>
          <w:rFonts w:cs="Arial"/>
          <w:szCs w:val="24"/>
        </w:rPr>
        <w:t>i pareri favorevoli in ordine alla reg</w:t>
      </w:r>
      <w:r w:rsidRPr="00FF5766">
        <w:rPr>
          <w:rFonts w:cs="Arial"/>
          <w:szCs w:val="24"/>
        </w:rPr>
        <w:t>olarità tecnica e contabile rispettivamente espressi dal</w:t>
      </w:r>
      <w:r w:rsidRPr="00FF5766">
        <w:rPr>
          <w:rFonts w:cs="Arial"/>
          <w:b/>
          <w:szCs w:val="24"/>
        </w:rPr>
        <w:t xml:space="preserve"> </w:t>
      </w:r>
      <w:r w:rsidRPr="00FF5766">
        <w:rPr>
          <w:rFonts w:cs="Arial"/>
          <w:szCs w:val="24"/>
        </w:rPr>
        <w:t>Direttore Generale</w:t>
      </w:r>
      <w:r>
        <w:rPr>
          <w:rFonts w:cs="Arial"/>
          <w:b/>
          <w:szCs w:val="24"/>
        </w:rPr>
        <w:t xml:space="preserve"> </w:t>
      </w:r>
      <w:r w:rsidRPr="00607841">
        <w:rPr>
          <w:rFonts w:cs="Arial"/>
          <w:szCs w:val="24"/>
        </w:rPr>
        <w:t>avv. Sandro Mazzatorta</w:t>
      </w:r>
      <w:r>
        <w:rPr>
          <w:rFonts w:cs="Arial"/>
          <w:b/>
          <w:szCs w:val="24"/>
        </w:rPr>
        <w:t xml:space="preserve"> </w:t>
      </w:r>
      <w:r>
        <w:rPr>
          <w:rFonts w:cs="Arial"/>
          <w:szCs w:val="24"/>
        </w:rPr>
        <w:t>e dal Dirigente del Servizio Bilancio, Contabilità e Personale dott. Giorgio Bonaldo ai sensi dell’art. 49 del D.Lgs. n. 267/2000;</w:t>
      </w:r>
    </w:p>
    <w:p w:rsidR="008445F1" w:rsidRPr="00FF5766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</w:p>
    <w:p w:rsidR="008445F1" w:rsidRPr="00FF5766" w:rsidRDefault="00004308" w:rsidP="008445F1">
      <w:pPr>
        <w:tabs>
          <w:tab w:val="left" w:pos="10632"/>
        </w:tabs>
        <w:ind w:right="-7"/>
        <w:jc w:val="both"/>
        <w:rPr>
          <w:rFonts w:cs="Arial"/>
          <w:szCs w:val="24"/>
        </w:rPr>
      </w:pPr>
      <w:r w:rsidRPr="00FF5766">
        <w:rPr>
          <w:rFonts w:cs="Arial"/>
          <w:b/>
          <w:szCs w:val="24"/>
        </w:rPr>
        <w:t xml:space="preserve">Sentite </w:t>
      </w:r>
      <w:r w:rsidRPr="00FF5766">
        <w:rPr>
          <w:rFonts w:cs="Arial"/>
          <w:szCs w:val="24"/>
        </w:rPr>
        <w:t>la Giunta Comunal</w:t>
      </w:r>
      <w:r w:rsidRPr="00FF5766">
        <w:rPr>
          <w:rFonts w:cs="Arial"/>
          <w:szCs w:val="24"/>
        </w:rPr>
        <w:t>e e la competente Commissione Consiliare di Controllo dei servizi pubblici locali e delle Partecipazioni societarie</w:t>
      </w:r>
      <w:r w:rsidR="00B7794E">
        <w:rPr>
          <w:rFonts w:cs="Arial"/>
          <w:szCs w:val="24"/>
        </w:rPr>
        <w:t>;</w:t>
      </w:r>
      <w:r w:rsidRPr="00FF5766">
        <w:rPr>
          <w:rFonts w:cs="Arial"/>
          <w:szCs w:val="24"/>
        </w:rPr>
        <w:t xml:space="preserve"> </w:t>
      </w:r>
    </w:p>
    <w:p w:rsidR="008445F1" w:rsidRPr="00FF5766" w:rsidRDefault="00004308" w:rsidP="008445F1">
      <w:pPr>
        <w:tabs>
          <w:tab w:val="left" w:pos="10632"/>
        </w:tabs>
        <w:ind w:right="-7"/>
        <w:rPr>
          <w:rFonts w:cs="Arial"/>
          <w:b/>
          <w:szCs w:val="24"/>
        </w:rPr>
      </w:pPr>
    </w:p>
    <w:p w:rsidR="008445F1" w:rsidRPr="00FF5766" w:rsidRDefault="00004308" w:rsidP="008445F1">
      <w:pPr>
        <w:tabs>
          <w:tab w:val="left" w:pos="10632"/>
        </w:tabs>
        <w:ind w:right="-7"/>
        <w:rPr>
          <w:rFonts w:cs="Arial"/>
          <w:b/>
          <w:szCs w:val="24"/>
        </w:rPr>
      </w:pPr>
    </w:p>
    <w:p w:rsidR="008445F1" w:rsidRDefault="00004308" w:rsidP="008445F1">
      <w:pPr>
        <w:pStyle w:val="Titolo1"/>
        <w:tabs>
          <w:tab w:val="left" w:pos="10632"/>
        </w:tabs>
        <w:ind w:left="0" w:right="-7"/>
        <w:jc w:val="center"/>
        <w:rPr>
          <w:rFonts w:ascii="Arial" w:hAnsi="Arial" w:cs="Arial"/>
        </w:rPr>
      </w:pPr>
      <w:r w:rsidRPr="00FF5766">
        <w:rPr>
          <w:rFonts w:ascii="Arial" w:hAnsi="Arial" w:cs="Arial"/>
        </w:rPr>
        <w:t>DELIBERA</w:t>
      </w:r>
    </w:p>
    <w:p w:rsidR="008445F1" w:rsidRPr="00FF5766" w:rsidRDefault="00004308" w:rsidP="008445F1">
      <w:pPr>
        <w:pStyle w:val="Titolo1"/>
        <w:tabs>
          <w:tab w:val="left" w:pos="10632"/>
        </w:tabs>
        <w:ind w:left="0" w:right="-7"/>
        <w:jc w:val="center"/>
        <w:rPr>
          <w:rFonts w:ascii="Arial" w:hAnsi="Arial" w:cs="Arial"/>
        </w:rPr>
      </w:pPr>
    </w:p>
    <w:p w:rsidR="008445F1" w:rsidRPr="00FF5766" w:rsidRDefault="00004308" w:rsidP="008445F1">
      <w:pPr>
        <w:pStyle w:val="Corpodeltesto"/>
        <w:tabs>
          <w:tab w:val="left" w:pos="10632"/>
        </w:tabs>
        <w:ind w:right="-7"/>
        <w:rPr>
          <w:rFonts w:ascii="Arial" w:hAnsi="Arial" w:cs="Arial"/>
          <w:b/>
        </w:rPr>
      </w:pPr>
    </w:p>
    <w:p w:rsidR="008445F1" w:rsidRDefault="00004308" w:rsidP="008445F1">
      <w:pPr>
        <w:pStyle w:val="Paragrafoelenco"/>
        <w:numPr>
          <w:ilvl w:val="0"/>
          <w:numId w:val="9"/>
        </w:numPr>
        <w:tabs>
          <w:tab w:val="left" w:pos="426"/>
          <w:tab w:val="left" w:pos="9781"/>
          <w:tab w:val="left" w:pos="10632"/>
        </w:tabs>
        <w:ind w:left="426" w:right="-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approvare Convenzione Quadro tra le Pubbliche Amministrazioni socie per l’esercizio del controllo analogo congiunto della S</w:t>
      </w:r>
      <w:r>
        <w:rPr>
          <w:rFonts w:ascii="Arial" w:hAnsi="Arial" w:cs="Arial"/>
          <w:sz w:val="24"/>
          <w:szCs w:val="24"/>
        </w:rPr>
        <w:t xml:space="preserve">ocietà LEPIDA S.c.p.a, allegata al presente provvedimento a far parte integrante dello stesso; </w:t>
      </w:r>
    </w:p>
    <w:p w:rsidR="008445F1" w:rsidRDefault="00004308" w:rsidP="008445F1">
      <w:pPr>
        <w:pStyle w:val="Paragrafoelenco"/>
        <w:tabs>
          <w:tab w:val="left" w:pos="426"/>
          <w:tab w:val="left" w:pos="9781"/>
          <w:tab w:val="left" w:pos="10632"/>
        </w:tabs>
        <w:ind w:left="426" w:right="-7" w:firstLine="0"/>
        <w:rPr>
          <w:rFonts w:ascii="Arial" w:hAnsi="Arial" w:cs="Arial"/>
          <w:sz w:val="24"/>
          <w:szCs w:val="24"/>
        </w:rPr>
      </w:pPr>
    </w:p>
    <w:p w:rsidR="008445F1" w:rsidRDefault="00004308" w:rsidP="008445F1">
      <w:pPr>
        <w:pStyle w:val="Paragrafoelenco"/>
        <w:numPr>
          <w:ilvl w:val="0"/>
          <w:numId w:val="9"/>
        </w:numPr>
        <w:tabs>
          <w:tab w:val="left" w:pos="426"/>
          <w:tab w:val="left" w:pos="9781"/>
          <w:tab w:val="left" w:pos="10632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autorizzare il Sindaco o un suo delegato a sottoscrivere il modulo di adesione alla Convenzione Quadro di cui sopra;</w:t>
      </w:r>
    </w:p>
    <w:p w:rsidR="008445F1" w:rsidRPr="00607841" w:rsidRDefault="00004308" w:rsidP="008445F1">
      <w:pPr>
        <w:tabs>
          <w:tab w:val="left" w:pos="426"/>
          <w:tab w:val="left" w:pos="9781"/>
          <w:tab w:val="left" w:pos="10632"/>
        </w:tabs>
        <w:ind w:left="426" w:right="-7"/>
        <w:rPr>
          <w:rFonts w:cs="Arial"/>
          <w:szCs w:val="24"/>
        </w:rPr>
      </w:pPr>
    </w:p>
    <w:p w:rsidR="008445F1" w:rsidRPr="00FF5766" w:rsidRDefault="00004308" w:rsidP="008445F1">
      <w:pPr>
        <w:pStyle w:val="Paragrafoelenco"/>
        <w:numPr>
          <w:ilvl w:val="0"/>
          <w:numId w:val="9"/>
        </w:numPr>
        <w:tabs>
          <w:tab w:val="left" w:pos="426"/>
          <w:tab w:val="left" w:pos="10632"/>
        </w:tabs>
        <w:spacing w:before="0"/>
        <w:ind w:left="426" w:right="-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dare atto che il Responsabile di Progetto è </w:t>
      </w:r>
      <w:r>
        <w:rPr>
          <w:rFonts w:ascii="Arial" w:hAnsi="Arial" w:cs="Arial"/>
          <w:sz w:val="24"/>
          <w:szCs w:val="24"/>
        </w:rPr>
        <w:t>il Direttore Generale avv. Sandro Mazzatorta.</w:t>
      </w:r>
    </w:p>
    <w:p w:rsidR="008445F1" w:rsidRPr="00FF5766" w:rsidRDefault="00004308" w:rsidP="008445F1">
      <w:pPr>
        <w:tabs>
          <w:tab w:val="left" w:pos="10632"/>
        </w:tabs>
        <w:ind w:left="978"/>
        <w:rPr>
          <w:rFonts w:cs="Arial"/>
          <w:b/>
          <w:szCs w:val="24"/>
        </w:rPr>
      </w:pPr>
    </w:p>
    <w:p w:rsidR="008445F1" w:rsidRPr="00FF5766" w:rsidRDefault="00004308" w:rsidP="008445F1">
      <w:pPr>
        <w:rPr>
          <w:rFonts w:cs="Arial"/>
          <w:szCs w:val="24"/>
        </w:rPr>
      </w:pPr>
    </w:p>
    <w:p w:rsidR="00150F63" w:rsidRPr="008445F1" w:rsidRDefault="00004308" w:rsidP="008445F1"/>
    <w:bookmarkEnd w:id="6"/>
    <w:p w:rsidR="001353C6" w:rsidRDefault="00004308" w:rsidP="001353C6">
      <w:pPr>
        <w:jc w:val="both"/>
        <w:rPr>
          <w:rFonts w:cs="Arial"/>
        </w:rPr>
      </w:pPr>
    </w:p>
    <w:p w:rsidR="001353C6" w:rsidRDefault="00004308" w:rsidP="001353C6">
      <w:pPr>
        <w:jc w:val="both"/>
        <w:rPr>
          <w:rFonts w:cs="Arial"/>
        </w:rPr>
      </w:pPr>
    </w:p>
    <w:p w:rsidR="00B70963" w:rsidRDefault="00004308" w:rsidP="001353C6">
      <w:pPr>
        <w:jc w:val="both"/>
        <w:rPr>
          <w:rFonts w:cs="Arial"/>
        </w:rPr>
      </w:pPr>
    </w:p>
    <w:p w:rsidR="00B70963" w:rsidRDefault="00004308" w:rsidP="00B70963">
      <w:pPr>
        <w:jc w:val="center"/>
        <w:rPr>
          <w:rFonts w:cs="Arial"/>
          <w:b/>
          <w:bCs/>
        </w:rPr>
      </w:pPr>
      <w:bookmarkStart w:id="7" w:name="AdozioneTitoloFirma"/>
      <w:r w:rsidRPr="001353C6">
        <w:rPr>
          <w:rFonts w:cs="Arial"/>
          <w:b/>
          <w:bCs/>
        </w:rPr>
        <w:t>IL DIRETTORE GENERALE</w:t>
      </w:r>
      <w:bookmarkEnd w:id="7"/>
    </w:p>
    <w:p w:rsidR="00B70963" w:rsidRDefault="00004308" w:rsidP="00B70963">
      <w:pPr>
        <w:jc w:val="center"/>
        <w:rPr>
          <w:rFonts w:cs="Arial"/>
        </w:rPr>
      </w:pPr>
      <w:bookmarkStart w:id="8" w:name="AdozioneFirma"/>
      <w:r>
        <w:rPr>
          <w:rFonts w:cs="Arial"/>
        </w:rPr>
        <w:t>Sandro Mazzatorta / INFOCERT SPA</w:t>
      </w:r>
      <w:bookmarkEnd w:id="8"/>
    </w:p>
    <w:sectPr w:rsidR="00B70963" w:rsidSect="005309DA">
      <w:footerReference w:type="default" r:id="rId8"/>
      <w:pgSz w:w="11906" w:h="16838"/>
      <w:pgMar w:top="567" w:right="1134" w:bottom="1134" w:left="1134" w:header="720" w:footer="284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308" w:rsidRDefault="00004308">
      <w:r>
        <w:separator/>
      </w:r>
    </w:p>
  </w:endnote>
  <w:endnote w:type="continuationSeparator" w:id="1">
    <w:p w:rsidR="00004308" w:rsidRDefault="00004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55" w:rsidRDefault="00004308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  <w:r w:rsidRPr="002C508B">
      <w:rPr>
        <w:rFonts w:ascii="Arial" w:hAnsi="Arial" w:cs="Arial"/>
        <w:b/>
        <w:bCs/>
        <w:i/>
        <w:iCs/>
        <w:color w:val="BFBFBF"/>
      </w:rPr>
      <w:t>Atto sottoscritto digitalmente secondo la normativa vigent</w:t>
    </w:r>
    <w:r>
      <w:rPr>
        <w:rFonts w:ascii="Arial" w:hAnsi="Arial" w:cs="Arial"/>
        <w:b/>
        <w:bCs/>
        <w:i/>
        <w:iCs/>
        <w:color w:val="BFBFBF"/>
        <w:lang w:val="it-IT"/>
      </w:rPr>
      <w:t>e</w:t>
    </w:r>
  </w:p>
  <w:p w:rsidR="00ED2E55" w:rsidRDefault="00004308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308" w:rsidRDefault="00004308">
      <w:r>
        <w:separator/>
      </w:r>
    </w:p>
  </w:footnote>
  <w:footnote w:type="continuationSeparator" w:id="1">
    <w:p w:rsidR="00004308" w:rsidRDefault="00004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hybridMultilevel"/>
    <w:tmpl w:val="2E92031A"/>
    <w:lvl w:ilvl="0">
      <w:start w:val="1"/>
      <w:numFmt w:val="bullet"/>
      <w:lvlText w:val=""/>
      <w:lvlJc w:val="left"/>
      <w:pPr>
        <w:ind w:left="1146" w:hanging="360"/>
      </w:pPr>
      <w:rPr>
        <w:rFonts w:ascii="Arial" w:eastAsia="Arial" w:hAnsi="Arial" w:cs="Arial" w:hint="default"/>
        <w:sz w:val="24"/>
      </w:rPr>
    </w:lvl>
    <w:lvl w:ilvl="1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D0144FE4"/>
    <w:lvl w:ilvl="0">
      <w:start w:val="1"/>
      <w:numFmt w:val="bullet"/>
      <w:lvlText w:val=""/>
      <w:lvlJc w:val="left"/>
      <w:pPr>
        <w:ind w:left="720" w:hanging="360"/>
      </w:pPr>
      <w:rPr>
        <w:rFonts w:ascii="Arial" w:eastAsia="Arial" w:hAnsi="Arial" w:cs="Arial" w:hint="default"/>
        <w:sz w:val="24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4101854"/>
    <w:lvl w:ilvl="0">
      <w:start w:val="1"/>
      <w:numFmt w:val="bullet"/>
      <w:lvlText w:val=""/>
      <w:lvlJc w:val="left"/>
      <w:pPr>
        <w:ind w:left="1338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2072" w:hanging="360"/>
      </w:pPr>
      <w:rPr>
        <w:rFonts w:ascii="Courier New" w:hAnsi="Courier New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3139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99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259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31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37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43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499" w:hanging="360"/>
      </w:pPr>
      <w:rPr>
        <w:rFonts w:hint="default"/>
        <w:lang w:val="it-IT" w:eastAsia="en-US" w:bidi="ar-SA"/>
      </w:rPr>
    </w:lvl>
  </w:abstractNum>
  <w:abstractNum w:abstractNumId="4">
    <w:nsid w:val="00000005"/>
    <w:multiLevelType w:val="hybridMultilevel"/>
    <w:tmpl w:val="8F728662"/>
    <w:lvl w:ilvl="0">
      <w:start w:val="1"/>
      <w:numFmt w:val="bullet"/>
      <w:lvlText w:val=""/>
      <w:lvlJc w:val="left"/>
      <w:pPr>
        <w:ind w:left="1338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2072" w:hanging="360"/>
      </w:pPr>
      <w:rPr>
        <w:rFonts w:ascii="Courier New" w:hAnsi="Courier New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3139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99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259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31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37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43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499" w:hanging="360"/>
      </w:pPr>
      <w:rPr>
        <w:rFonts w:hint="default"/>
        <w:lang w:val="it-IT" w:eastAsia="en-US" w:bidi="ar-SA"/>
      </w:rPr>
    </w:lvl>
  </w:abstractNum>
  <w:abstractNum w:abstractNumId="5">
    <w:nsid w:val="00000006"/>
    <w:multiLevelType w:val="hybridMultilevel"/>
    <w:tmpl w:val="9B6E7C04"/>
    <w:lvl w:ilvl="0">
      <w:numFmt w:val="bullet"/>
      <w:lvlText w:val="•"/>
      <w:lvlJc w:val="left"/>
      <w:pPr>
        <w:ind w:left="1338" w:hanging="360"/>
      </w:pPr>
      <w:rPr>
        <w:rFonts w:ascii="Arial MT" w:eastAsia="Arial MT" w:hAnsi="Arial MT" w:cs="Arial MT" w:hint="default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2072" w:hanging="360"/>
      </w:pPr>
      <w:rPr>
        <w:rFonts w:ascii="Courier New" w:hAnsi="Courier New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3139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99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259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31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37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43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499" w:hanging="360"/>
      </w:pPr>
      <w:rPr>
        <w:rFonts w:hint="default"/>
        <w:lang w:val="it-IT" w:eastAsia="en-US" w:bidi="ar-SA"/>
      </w:rPr>
    </w:lvl>
  </w:abstractNum>
  <w:abstractNum w:abstractNumId="6">
    <w:nsid w:val="00000007"/>
    <w:multiLevelType w:val="hybridMultilevel"/>
    <w:tmpl w:val="99C4718E"/>
    <w:lvl w:ilvl="0">
      <w:start w:val="1"/>
      <w:numFmt w:val="bullet"/>
      <w:lvlText w:val=""/>
      <w:lvlJc w:val="left"/>
      <w:pPr>
        <w:ind w:left="1338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2072" w:hanging="360"/>
      </w:pPr>
      <w:rPr>
        <w:rFonts w:ascii="Courier New" w:hAnsi="Courier New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3139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99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259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31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37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43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499" w:hanging="360"/>
      </w:pPr>
      <w:rPr>
        <w:rFonts w:hint="default"/>
        <w:lang w:val="it-IT" w:eastAsia="en-US" w:bidi="ar-SA"/>
      </w:rPr>
    </w:lvl>
  </w:abstractNum>
  <w:abstractNum w:abstractNumId="7">
    <w:nsid w:val="00000008"/>
    <w:multiLevelType w:val="hybridMultilevel"/>
    <w:tmpl w:val="BCCA2F40"/>
    <w:lvl w:ilvl="0">
      <w:start w:val="1"/>
      <w:numFmt w:val="bullet"/>
      <w:lvlText w:val=""/>
      <w:lvlJc w:val="left"/>
      <w:pPr>
        <w:ind w:left="1338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2072" w:hanging="360"/>
      </w:pPr>
      <w:rPr>
        <w:rFonts w:ascii="Courier New" w:hAnsi="Courier New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3139" w:hanging="3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4199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5259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319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37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43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499" w:hanging="360"/>
      </w:pPr>
      <w:rPr>
        <w:rFonts w:hint="default"/>
        <w:lang w:val="it-IT" w:eastAsia="en-US" w:bidi="ar-SA"/>
      </w:rPr>
    </w:lvl>
  </w:abstractNum>
  <w:abstractNum w:abstractNumId="8">
    <w:nsid w:val="00000009"/>
    <w:multiLevelType w:val="hybridMultilevel"/>
    <w:tmpl w:val="80F4AA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6FAA"/>
    <w:rsid w:val="00004308"/>
    <w:rsid w:val="005F4161"/>
    <w:rsid w:val="00B7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8B6"/>
    <w:pPr>
      <w:suppressAutoHyphens/>
    </w:pPr>
    <w:rPr>
      <w:rFonts w:ascii="Arial" w:hAnsi="Arial" w:cs="Verdana"/>
      <w:sz w:val="24"/>
      <w:szCs w:val="22"/>
      <w:lang w:eastAsia="zh-CN"/>
    </w:rPr>
  </w:style>
  <w:style w:type="paragraph" w:styleId="Titolo1">
    <w:name w:val="heading 1"/>
    <w:basedOn w:val="Normale"/>
    <w:link w:val="Titolo1Carattere"/>
    <w:uiPriority w:val="9"/>
    <w:qFormat/>
    <w:rsid w:val="008445F1"/>
    <w:pPr>
      <w:widowControl w:val="0"/>
      <w:autoSpaceDE w:val="0"/>
      <w:autoSpaceDN w:val="0"/>
      <w:ind w:left="978"/>
      <w:jc w:val="both"/>
      <w:outlineLvl w:val="0"/>
    </w:pPr>
    <w:rPr>
      <w:rFonts w:ascii="Cambria" w:eastAsia="Cambria" w:hAnsi="Cambria" w:cs="Cambria"/>
      <w:b/>
      <w:bCs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634A8"/>
    <w:pPr>
      <w:tabs>
        <w:tab w:val="center" w:pos="4819"/>
        <w:tab w:val="right" w:pos="9638"/>
      </w:tabs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rsid w:val="005634A8"/>
    <w:rPr>
      <w:rFonts w:ascii="Times New Roman" w:eastAsia="Times New Roman" w:hAnsi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353C6"/>
    <w:pPr>
      <w:tabs>
        <w:tab w:val="center" w:pos="4819"/>
        <w:tab w:val="right" w:pos="9638"/>
      </w:tabs>
    </w:pPr>
    <w:rPr>
      <w:rFonts w:ascii="Verdana" w:hAnsi="Verdana" w:cs="Times New Roman"/>
      <w:lang/>
    </w:rPr>
  </w:style>
  <w:style w:type="character" w:customStyle="1" w:styleId="IntestazioneCarattere">
    <w:name w:val="Intestazione Carattere"/>
    <w:link w:val="Intestazione"/>
    <w:uiPriority w:val="99"/>
    <w:rsid w:val="001353C6"/>
    <w:rPr>
      <w:rFonts w:ascii="Verdana" w:hAnsi="Verdana" w:cs="Verdana"/>
      <w:sz w:val="24"/>
      <w:szCs w:val="22"/>
      <w:lang w:eastAsia="zh-CN"/>
    </w:rPr>
  </w:style>
  <w:style w:type="paragraph" w:styleId="Paragrafoelenco">
    <w:name w:val="List Paragraph"/>
    <w:basedOn w:val="Normale"/>
    <w:uiPriority w:val="1"/>
    <w:qFormat/>
    <w:rsid w:val="008445F1"/>
    <w:pPr>
      <w:widowControl w:val="0"/>
      <w:autoSpaceDE w:val="0"/>
      <w:autoSpaceDN w:val="0"/>
      <w:spacing w:before="34"/>
      <w:ind w:left="1338" w:hanging="360"/>
      <w:jc w:val="both"/>
    </w:pPr>
    <w:rPr>
      <w:rFonts w:ascii="Cambria" w:eastAsia="Cambria" w:hAnsi="Cambria" w:cs="Cambria"/>
      <w:sz w:val="22"/>
    </w:rPr>
  </w:style>
  <w:style w:type="character" w:customStyle="1" w:styleId="Titolo1Carattere">
    <w:name w:val="Titolo 1 Carattere"/>
    <w:link w:val="Titolo1"/>
    <w:uiPriority w:val="9"/>
    <w:rsid w:val="008445F1"/>
    <w:rPr>
      <w:rFonts w:ascii="Cambria" w:eastAsia="Cambria" w:hAnsi="Cambria" w:cs="Cambria"/>
      <w:b/>
      <w:bCs/>
      <w:sz w:val="24"/>
      <w:szCs w:val="24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8445F1"/>
    <w:pPr>
      <w:widowControl w:val="0"/>
      <w:autoSpaceDE w:val="0"/>
      <w:autoSpaceDN w:val="0"/>
    </w:pPr>
    <w:rPr>
      <w:rFonts w:ascii="Cambria" w:eastAsia="Cambria" w:hAnsi="Cambria" w:cs="Cambria"/>
      <w:szCs w:val="24"/>
    </w:rPr>
  </w:style>
  <w:style w:type="character" w:customStyle="1" w:styleId="CorpodeltestoCarattere">
    <w:name w:val="Corpo del testo Carattere"/>
    <w:link w:val="Corpodeltesto"/>
    <w:uiPriority w:val="1"/>
    <w:rsid w:val="008445F1"/>
    <w:rPr>
      <w:rFonts w:ascii="Cambria" w:eastAsia="Cambria" w:hAnsi="Cambria" w:cs="Cambria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Capetta</dc:creator>
  <cp:lastModifiedBy>Paola Marzola</cp:lastModifiedBy>
  <cp:revision>3</cp:revision>
  <cp:lastPrinted>1601-01-01T00:00:00Z</cp:lastPrinted>
  <dcterms:created xsi:type="dcterms:W3CDTF">2024-01-10T07:49:00Z</dcterms:created>
  <dcterms:modified xsi:type="dcterms:W3CDTF">2024-01-10T07:50:00Z</dcterms:modified>
</cp:coreProperties>
</file>