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B0C4" w14:textId="38DFA003" w:rsidR="00A67539" w:rsidRDefault="00C9525B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  <w:r>
        <w:rPr>
          <w:noProof/>
        </w:rPr>
        <w:drawing>
          <wp:inline distT="0" distB="0" distL="0" distR="0" wp14:anchorId="6C888D7B" wp14:editId="4DA8A7BC">
            <wp:extent cx="2407920" cy="1393825"/>
            <wp:effectExtent l="0" t="0" r="0" b="0"/>
            <wp:docPr id="2" name="Immagine 2" descr="G:\MEIS\LOGHI\MEIS\NUOVO\logo_outline\logo outline verticale 300 dp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G:\MEIS\LOGHI\MEIS\NUOVO\logo_outline\logo outline verticale 300 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A6655" w14:textId="77777777" w:rsidR="00C9525B" w:rsidRPr="00A67539" w:rsidRDefault="00C9525B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066"/>
          <w:kern w:val="0"/>
          <w:sz w:val="20"/>
          <w:szCs w:val="20"/>
        </w:rPr>
      </w:pPr>
    </w:p>
    <w:p w14:paraId="2F180532" w14:textId="3B325FBE" w:rsidR="00023B14" w:rsidRDefault="00A45C14" w:rsidP="006A0FEB">
      <w:pPr>
        <w:spacing w:after="0" w:line="240" w:lineRule="auto"/>
        <w:jc w:val="center"/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</w:pPr>
      <w:r>
        <w:rPr>
          <w:rFonts w:ascii="Letter Gothic" w:eastAsia="Cambria" w:hAnsi="Letter Gothic" w:cs="Arial"/>
          <w:b/>
          <w:bCs/>
          <w:color w:val="000C78"/>
          <w:kern w:val="0"/>
          <w:sz w:val="44"/>
          <w:szCs w:val="44"/>
        </w:rPr>
        <w:t>MANLIO GERACI</w:t>
      </w:r>
    </w:p>
    <w:p w14:paraId="65C5C83B" w14:textId="66150FB0" w:rsidR="006A0FEB" w:rsidRPr="006A0FEB" w:rsidRDefault="006A0FEB" w:rsidP="006A0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rPr>
          <w:rFonts w:ascii="Book Antiqua" w:eastAsia="Times New Roman" w:hAnsi="Book Antiqua" w:cs="Times New Roman"/>
          <w:b/>
          <w:color w:val="auto"/>
          <w:kern w:val="0"/>
          <w:sz w:val="28"/>
          <w:szCs w:val="24"/>
          <w:bdr w:val="none" w:sz="0" w:space="0" w:color="auto"/>
        </w:rPr>
      </w:pPr>
    </w:p>
    <w:p w14:paraId="1810A4F7" w14:textId="1078CC5B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Manlio Geraci, scultore, architetto e restauratore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lavora prevalentemente la pietra, dal tenero calcare di Noto agli alabastri siciliani,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d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al marmo bianco di Carrara alla dura pietra di basalto dell'Etna.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Realizza anche opere in gesso, argilla, bronzo, carta, legno e mosaico. </w:t>
      </w:r>
    </w:p>
    <w:p w14:paraId="4400BE0C" w14:textId="2306CB54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Verso la metà degli anni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ttanta prende corpo la sua attività espositiva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che si concentra da subito sui temi dello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spazio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del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tempo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de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lla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spiritualità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de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lla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meditazione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. </w:t>
      </w:r>
    </w:p>
    <w:p w14:paraId="67D96FCC" w14:textId="148A4D46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Importante è la scelta dei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materiali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selezionati durante 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passeggiate nel paesaggio siciliano.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Dell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'alabastro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già sottoposto all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intemperie, Manlio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esalta le caratteristiche e toglie alcune parti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creando qualcosa di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“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altro” rispetto all'iniziale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ma con sempre intatta la sua essenza naturale. </w:t>
      </w:r>
    </w:p>
    <w:p w14:paraId="30884BBB" w14:textId="18C33D51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Geraci diviene nel tempo più consapevole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sicuro del suo intervento come </w:t>
      </w:r>
      <w:proofErr w:type="spellStart"/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faber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capace di infondere la ratio nell'inerte corpo solido. Il morbido calcare di Noto si trasforma in creature organiche in perenne alternanza di stati razionali e irrazionali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contrasto accentuato dall'uso di resine colorate e pigmenti. </w:t>
      </w:r>
    </w:p>
    <w:p w14:paraId="01F80C23" w14:textId="77777777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Alla fine degli anni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N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ovanta Geraci lavora sulla resa dinamica e geometrica dei volumi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trasformando i piani in pura energia vitale. </w:t>
      </w:r>
    </w:p>
    <w:p w14:paraId="423C489A" w14:textId="499EA1D5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Recentemente la scelta si è volta verso i marmi di Carrara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: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la pietra si sottomette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ma risulta trionfante, nettata e purificata come un ideale. Verso una sempre maggiore idealizzazione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vanno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le ultime sculture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dove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la superficie è movimentata da tessere musive dai colori simbolici e da foglie dorate. </w:t>
      </w:r>
    </w:p>
    <w:p w14:paraId="093E3689" w14:textId="65B343F0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Gli studi sui meccanismi di spiritualizzazione lo hanno portato a tesaurizzare in atto creativo l'elaborazione del durissimo basalto vulcanico dell'Etna e di Pantelleria. </w:t>
      </w:r>
    </w:p>
    <w:p w14:paraId="63EAAC03" w14:textId="43F2B6F3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D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a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tempo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il suo lavoro è incentrato sul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simbolismo ebraico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sul pensiero cristiano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evidenziandone aspetti culturali e immaginifici. Manlio Geraci ha, 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verso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la tematica dell’ebraismo, un approccio e un interesse personale, tanto intellettuale quanto spirituale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. Da qui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l’idea di una mostra dedica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ta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alle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vittime delle terribili violenze giustificate da motivi religiosi, etnici e politici</w:t>
      </w:r>
      <w:r w:rsidR="00581CFA" w:rsidRP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dove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’artista affronta il </w:t>
      </w:r>
      <w:r w:rsidRP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pensiero del dolore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della gente, 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in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senso fisico e spirituale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senza offendere la memoria e la bellezza dei corpi. </w:t>
      </w:r>
    </w:p>
    <w:p w14:paraId="4610D42C" w14:textId="51617440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L’elemento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della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luce riveste un ruolo fondamentale nelle installazioni di Geraci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che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con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l’uso del bianco monocromo è come se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ci conducesse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a una condizione tendente all’abbagliamento, quasi volesse farci socchiudere gli occhi per mettere a fuoco un’altra immagine, capace di nutrirsi di tutti quei significati taciuti, racchiusi da ciascun corpo di ogni singola scultura. </w:t>
      </w:r>
    </w:p>
    <w:p w14:paraId="35553FC2" w14:textId="421C6263" w:rsidR="002E14ED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Il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libro colorato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è il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simbolo della memoria di un popolo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 il tentativo di 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cancellare pubblicamente quella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memoria viene qui ampliato e reso visibile. Il libro è il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principale nemico delle dittature e dei totalitarismi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ma anche </w:t>
      </w:r>
      <w:r w:rsidRPr="00C56433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degli integralismi religiosi e di chi compie genocidi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provando a 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rimuovere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con essi la memoria del popolo. L’artista realizza il libro con il </w:t>
      </w:r>
      <w:r w:rsidRPr="00581CFA">
        <w:rPr>
          <w:rFonts w:ascii="Garamond" w:eastAsia="Times New Roman" w:hAnsi="Garamond" w:cs="Times New Roman"/>
          <w:b/>
          <w:color w:val="auto"/>
          <w:kern w:val="0"/>
          <w:sz w:val="24"/>
          <w:szCs w:val="24"/>
          <w:bdr w:val="none" w:sz="0" w:space="0" w:color="auto"/>
        </w:rPr>
        <w:t>legno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dando a questa memoria ancora più forza e consistenza per quantità e peso.</w:t>
      </w:r>
    </w:p>
    <w:p w14:paraId="7D063344" w14:textId="315E2431" w:rsidR="00A45C14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</w:p>
    <w:p w14:paraId="0DB013BD" w14:textId="43B596BC" w:rsidR="00C56433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</w:pP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Geraci ha esposto a Palermo nelle personali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Geometrie infrante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Opera Universitaria San Saverio, 1996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Pietre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Galleria Bianca dei Cantieri Culturali alla Zisa, 1997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Viaggio Spirituale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Chiesa di S. Maria della Catena, 2002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. </w:t>
      </w:r>
    </w:p>
    <w:p w14:paraId="2827B19A" w14:textId="5171FADD" w:rsidR="0046199A" w:rsidRPr="006A0FEB" w:rsidRDefault="00A45C14" w:rsidP="00A45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jc w:val="both"/>
        <w:rPr>
          <w:rFonts w:ascii="Garamond" w:eastAsia="Times New Roman" w:hAnsi="Garamond" w:cstheme="majorHAnsi"/>
          <w:color w:val="auto"/>
          <w:kern w:val="0"/>
          <w:sz w:val="24"/>
          <w:szCs w:val="24"/>
          <w:bdr w:val="none" w:sz="0" w:space="0" w:color="auto"/>
        </w:rPr>
      </w:pP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Ha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partecipato a mostre collettive in Italia e all'estero: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Il Genio </w:t>
      </w:r>
      <w:r w:rsidRPr="00C56433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di Palermo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Galleria 61, Palermo, 1998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Museum </w:t>
      </w:r>
      <w:proofErr w:type="spellStart"/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expression</w:t>
      </w:r>
      <w:proofErr w:type="spellEnd"/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Carroussel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du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Louvre, Parigi, 1998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proofErr w:type="spellStart"/>
      <w:r w:rsidR="00C56433"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Limen</w:t>
      </w:r>
      <w:proofErr w:type="spellEnd"/>
      <w:r w:rsidR="00C56433"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tracce di confine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Santa Maria della Scala, Siena, 2004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Interazioni </w:t>
      </w:r>
      <w:r w:rsid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-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</w:t>
      </w:r>
      <w:proofErr w:type="spellStart"/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Wechselwirkungen</w:t>
      </w:r>
      <w:proofErr w:type="spellEnd"/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Galleria  Forum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Factory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Berlino, 2011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Made in </w:t>
      </w:r>
      <w:proofErr w:type="spellStart"/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Sicily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m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ostra collettiva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itinerante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a cura di Nicolò D’Alessandro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Galleria  d’Arte moderna Le Ciminiere di Catania 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lastRenderedPageBreak/>
        <w:t>l’Albergo dei Poveri di Palermo, 2011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Ebraica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Palazzo Steri di Palermo, 2012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Ebraica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Ente Mostra Pittura Contemporanea “Citta di Marsala”</w:t>
      </w:r>
      <w:r w:rsidR="00581CFA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bookmarkStart w:id="0" w:name="_GoBack"/>
      <w:bookmarkEnd w:id="0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2013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Naufrago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Antonio Vitale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2014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,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r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ealizzazione di una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Chanukkiah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in occasione della mostra </w:t>
      </w:r>
      <w:r w:rsidR="00C56433"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Ebrei </w:t>
      </w:r>
      <w:r w:rsidR="00C56433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i</w:t>
      </w:r>
      <w:r w:rsidR="00C56433" w:rsidRPr="00A45C14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n Sicilia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Complesso Monumentale dello Steri, Officine Studi Medievali,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Shavei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Israel, Unione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delle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Comunit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à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Ebraic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h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e Italiane, Comunità Ebraica di Napoli, Istituto Siciliano Studi Ebraici, Palermo, 2013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C56433"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Ebraica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, Il libro Bruciato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Giorno della memoria 2014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Biblioteca Comunale di Palermo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Sergio Troisi, 2013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C56433"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Ebraica</w:t>
      </w:r>
      <w:r w:rsidR="00C56433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Museo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Mandralisca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Cefalù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Teresa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Triscari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2015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E</w:t>
      </w:r>
      <w:r w:rsidR="00C56433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rranza e 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A</w:t>
      </w:r>
      <w:r w:rsidR="00C56433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pprodi 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Palazzo Moncada, Caltanissetta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Diego </w:t>
      </w:r>
      <w:proofErr w:type="spellStart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Gulizia</w:t>
      </w:r>
      <w:proofErr w:type="spellEnd"/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 2015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Ricordi Futuri 3.0</w:t>
      </w:r>
      <w:r w:rsid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.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Diaspore in terra di Sicilia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Palazzo Sant’Elia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Palermo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Ermanno Tedeschi e Flavia Alaimo, 2018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), 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Ricordi Futuri 4.0</w:t>
      </w:r>
      <w:r w:rsidR="002E14ED"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>.</w:t>
      </w:r>
      <w:r w:rsidRPr="002E14ED">
        <w:rPr>
          <w:rFonts w:ascii="Garamond" w:eastAsia="Times New Roman" w:hAnsi="Garamond" w:cs="Times New Roman"/>
          <w:i/>
          <w:color w:val="auto"/>
          <w:kern w:val="0"/>
          <w:sz w:val="24"/>
          <w:szCs w:val="24"/>
          <w:bdr w:val="none" w:sz="0" w:space="0" w:color="auto"/>
        </w:rPr>
        <w:t xml:space="preserve"> Cosa c’è in fondo al binario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(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Memoriale della Shoah di Milano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,</w:t>
      </w:r>
      <w:r w:rsidRPr="00A45C14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 xml:space="preserve"> a cura di Ermanno Tedeschi, 2018</w:t>
      </w:r>
      <w:r w:rsidR="002E14ED">
        <w:rPr>
          <w:rFonts w:ascii="Garamond" w:eastAsia="Times New Roman" w:hAnsi="Garamond" w:cs="Times New Roman"/>
          <w:color w:val="auto"/>
          <w:kern w:val="0"/>
          <w:sz w:val="24"/>
          <w:szCs w:val="24"/>
          <w:bdr w:val="none" w:sz="0" w:space="0" w:color="auto"/>
        </w:rPr>
        <w:t>).</w:t>
      </w:r>
    </w:p>
    <w:sectPr w:rsidR="0046199A" w:rsidRPr="006A0FEB">
      <w:pgSz w:w="11900" w:h="16840"/>
      <w:pgMar w:top="1080" w:right="1134" w:bottom="114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C6173" w14:textId="77777777" w:rsidR="009E36B4" w:rsidRDefault="009E36B4">
      <w:pPr>
        <w:spacing w:after="0" w:line="240" w:lineRule="auto"/>
      </w:pPr>
      <w:r>
        <w:separator/>
      </w:r>
    </w:p>
  </w:endnote>
  <w:endnote w:type="continuationSeparator" w:id="0">
    <w:p w14:paraId="773C8E80" w14:textId="77777777" w:rsidR="009E36B4" w:rsidRDefault="009E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etter Gothic">
    <w:panose1 w:val="020B04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C3ED" w14:textId="77777777" w:rsidR="009E36B4" w:rsidRDefault="009E36B4">
      <w:pPr>
        <w:spacing w:after="0" w:line="240" w:lineRule="auto"/>
      </w:pPr>
      <w:r>
        <w:separator/>
      </w:r>
    </w:p>
  </w:footnote>
  <w:footnote w:type="continuationSeparator" w:id="0">
    <w:p w14:paraId="146A6EAC" w14:textId="77777777" w:rsidR="009E36B4" w:rsidRDefault="009E3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44223"/>
    <w:rsid w:val="00011EFC"/>
    <w:rsid w:val="00020832"/>
    <w:rsid w:val="00021646"/>
    <w:rsid w:val="00021ECF"/>
    <w:rsid w:val="00023B14"/>
    <w:rsid w:val="00041321"/>
    <w:rsid w:val="000451F3"/>
    <w:rsid w:val="00070D5A"/>
    <w:rsid w:val="000747D2"/>
    <w:rsid w:val="00075710"/>
    <w:rsid w:val="0008054E"/>
    <w:rsid w:val="000A44BD"/>
    <w:rsid w:val="000B54B0"/>
    <w:rsid w:val="000C0700"/>
    <w:rsid w:val="000D4E3B"/>
    <w:rsid w:val="000E6E4F"/>
    <w:rsid w:val="00126FA0"/>
    <w:rsid w:val="00127905"/>
    <w:rsid w:val="00127C88"/>
    <w:rsid w:val="001431B3"/>
    <w:rsid w:val="00162CEC"/>
    <w:rsid w:val="00162DC1"/>
    <w:rsid w:val="00173BDB"/>
    <w:rsid w:val="00183D47"/>
    <w:rsid w:val="00184FED"/>
    <w:rsid w:val="001D7712"/>
    <w:rsid w:val="001F7D63"/>
    <w:rsid w:val="002409A1"/>
    <w:rsid w:val="00242B61"/>
    <w:rsid w:val="00243D49"/>
    <w:rsid w:val="00255F4B"/>
    <w:rsid w:val="00263CC7"/>
    <w:rsid w:val="00264811"/>
    <w:rsid w:val="00274FC7"/>
    <w:rsid w:val="00275CF3"/>
    <w:rsid w:val="00293159"/>
    <w:rsid w:val="002C79DD"/>
    <w:rsid w:val="002E14ED"/>
    <w:rsid w:val="002E3230"/>
    <w:rsid w:val="002E4816"/>
    <w:rsid w:val="003052AE"/>
    <w:rsid w:val="00306A3D"/>
    <w:rsid w:val="00312605"/>
    <w:rsid w:val="00317964"/>
    <w:rsid w:val="0032581D"/>
    <w:rsid w:val="00330E81"/>
    <w:rsid w:val="00336186"/>
    <w:rsid w:val="00346A2F"/>
    <w:rsid w:val="003501B8"/>
    <w:rsid w:val="00360428"/>
    <w:rsid w:val="00364365"/>
    <w:rsid w:val="00371717"/>
    <w:rsid w:val="003D3BB6"/>
    <w:rsid w:val="003D4977"/>
    <w:rsid w:val="003D68B7"/>
    <w:rsid w:val="003E006B"/>
    <w:rsid w:val="003E1571"/>
    <w:rsid w:val="003F02B1"/>
    <w:rsid w:val="00402BC3"/>
    <w:rsid w:val="00412359"/>
    <w:rsid w:val="00450638"/>
    <w:rsid w:val="00450E1D"/>
    <w:rsid w:val="0046199A"/>
    <w:rsid w:val="004F7F1B"/>
    <w:rsid w:val="00511AF6"/>
    <w:rsid w:val="00527CC8"/>
    <w:rsid w:val="00540D45"/>
    <w:rsid w:val="005447CC"/>
    <w:rsid w:val="005462D9"/>
    <w:rsid w:val="00555FC6"/>
    <w:rsid w:val="005611D0"/>
    <w:rsid w:val="00572A7E"/>
    <w:rsid w:val="00576E85"/>
    <w:rsid w:val="00580CBD"/>
    <w:rsid w:val="005818F5"/>
    <w:rsid w:val="00581CFA"/>
    <w:rsid w:val="00584689"/>
    <w:rsid w:val="005B146D"/>
    <w:rsid w:val="005C2473"/>
    <w:rsid w:val="005D73D4"/>
    <w:rsid w:val="005E20A6"/>
    <w:rsid w:val="005E3B65"/>
    <w:rsid w:val="005E7250"/>
    <w:rsid w:val="0061386E"/>
    <w:rsid w:val="00617E38"/>
    <w:rsid w:val="0062638F"/>
    <w:rsid w:val="0063716E"/>
    <w:rsid w:val="006407ED"/>
    <w:rsid w:val="00645284"/>
    <w:rsid w:val="00647AF5"/>
    <w:rsid w:val="0065430F"/>
    <w:rsid w:val="006554EE"/>
    <w:rsid w:val="00660C9F"/>
    <w:rsid w:val="0067416E"/>
    <w:rsid w:val="006833A2"/>
    <w:rsid w:val="00692168"/>
    <w:rsid w:val="006A0FEB"/>
    <w:rsid w:val="006B41AE"/>
    <w:rsid w:val="006C0FF5"/>
    <w:rsid w:val="006C5A30"/>
    <w:rsid w:val="006D6786"/>
    <w:rsid w:val="006E4035"/>
    <w:rsid w:val="006E5366"/>
    <w:rsid w:val="006F3DCB"/>
    <w:rsid w:val="006F638B"/>
    <w:rsid w:val="007034E1"/>
    <w:rsid w:val="00717F62"/>
    <w:rsid w:val="00742D4C"/>
    <w:rsid w:val="007534E9"/>
    <w:rsid w:val="00761611"/>
    <w:rsid w:val="00780621"/>
    <w:rsid w:val="007B2540"/>
    <w:rsid w:val="007B3C86"/>
    <w:rsid w:val="007B5294"/>
    <w:rsid w:val="007C769D"/>
    <w:rsid w:val="007E31B0"/>
    <w:rsid w:val="00822186"/>
    <w:rsid w:val="008342D5"/>
    <w:rsid w:val="008418A2"/>
    <w:rsid w:val="0084500B"/>
    <w:rsid w:val="008749FD"/>
    <w:rsid w:val="00887B01"/>
    <w:rsid w:val="008C4B8F"/>
    <w:rsid w:val="00901CF5"/>
    <w:rsid w:val="009127A4"/>
    <w:rsid w:val="00913C4E"/>
    <w:rsid w:val="00913E06"/>
    <w:rsid w:val="0091711D"/>
    <w:rsid w:val="00933E05"/>
    <w:rsid w:val="00981825"/>
    <w:rsid w:val="00994990"/>
    <w:rsid w:val="009B270B"/>
    <w:rsid w:val="009C39AB"/>
    <w:rsid w:val="009D2762"/>
    <w:rsid w:val="009E36B4"/>
    <w:rsid w:val="009E7320"/>
    <w:rsid w:val="00A02548"/>
    <w:rsid w:val="00A11DB0"/>
    <w:rsid w:val="00A23715"/>
    <w:rsid w:val="00A45C14"/>
    <w:rsid w:val="00A5444D"/>
    <w:rsid w:val="00A603AD"/>
    <w:rsid w:val="00A639E5"/>
    <w:rsid w:val="00A67539"/>
    <w:rsid w:val="00A808AA"/>
    <w:rsid w:val="00A8132C"/>
    <w:rsid w:val="00A9015F"/>
    <w:rsid w:val="00A964FF"/>
    <w:rsid w:val="00AA54A3"/>
    <w:rsid w:val="00AB2FDE"/>
    <w:rsid w:val="00AD32A6"/>
    <w:rsid w:val="00B413DF"/>
    <w:rsid w:val="00B44223"/>
    <w:rsid w:val="00B50CD7"/>
    <w:rsid w:val="00B65C07"/>
    <w:rsid w:val="00B730D3"/>
    <w:rsid w:val="00B83DB4"/>
    <w:rsid w:val="00B9383D"/>
    <w:rsid w:val="00BA1859"/>
    <w:rsid w:val="00BA1C26"/>
    <w:rsid w:val="00BA5117"/>
    <w:rsid w:val="00BC4139"/>
    <w:rsid w:val="00BE15E3"/>
    <w:rsid w:val="00BE5F3A"/>
    <w:rsid w:val="00BF3B24"/>
    <w:rsid w:val="00BF698D"/>
    <w:rsid w:val="00C070CF"/>
    <w:rsid w:val="00C1002B"/>
    <w:rsid w:val="00C14C18"/>
    <w:rsid w:val="00C15605"/>
    <w:rsid w:val="00C246EC"/>
    <w:rsid w:val="00C31025"/>
    <w:rsid w:val="00C33ABB"/>
    <w:rsid w:val="00C50056"/>
    <w:rsid w:val="00C52E26"/>
    <w:rsid w:val="00C56433"/>
    <w:rsid w:val="00C6262E"/>
    <w:rsid w:val="00C8293B"/>
    <w:rsid w:val="00C83399"/>
    <w:rsid w:val="00C9525B"/>
    <w:rsid w:val="00CB60C2"/>
    <w:rsid w:val="00CB7741"/>
    <w:rsid w:val="00CE1F73"/>
    <w:rsid w:val="00CF484C"/>
    <w:rsid w:val="00D17DA2"/>
    <w:rsid w:val="00D43D08"/>
    <w:rsid w:val="00D5778C"/>
    <w:rsid w:val="00D65AF4"/>
    <w:rsid w:val="00D711F3"/>
    <w:rsid w:val="00D87BD7"/>
    <w:rsid w:val="00DB65F8"/>
    <w:rsid w:val="00DC0773"/>
    <w:rsid w:val="00DE3523"/>
    <w:rsid w:val="00DE58A1"/>
    <w:rsid w:val="00E07A4B"/>
    <w:rsid w:val="00E10E24"/>
    <w:rsid w:val="00E13762"/>
    <w:rsid w:val="00E26107"/>
    <w:rsid w:val="00E26F63"/>
    <w:rsid w:val="00E304BB"/>
    <w:rsid w:val="00E32589"/>
    <w:rsid w:val="00E64A7A"/>
    <w:rsid w:val="00E75E57"/>
    <w:rsid w:val="00E834B7"/>
    <w:rsid w:val="00E94949"/>
    <w:rsid w:val="00E95E90"/>
    <w:rsid w:val="00E96B5C"/>
    <w:rsid w:val="00EA07FD"/>
    <w:rsid w:val="00EC5945"/>
    <w:rsid w:val="00EE30B1"/>
    <w:rsid w:val="00F06EB2"/>
    <w:rsid w:val="00F118C8"/>
    <w:rsid w:val="00F13D54"/>
    <w:rsid w:val="00F222D6"/>
    <w:rsid w:val="00F26ABC"/>
    <w:rsid w:val="00F31A19"/>
    <w:rsid w:val="00F507D8"/>
    <w:rsid w:val="00F55693"/>
    <w:rsid w:val="00F62E44"/>
    <w:rsid w:val="00F63AA5"/>
    <w:rsid w:val="00F70E72"/>
    <w:rsid w:val="00FC7FC3"/>
    <w:rsid w:val="00FD4A37"/>
    <w:rsid w:val="00FE083B"/>
    <w:rsid w:val="00FE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3B4E8"/>
  <w15:docId w15:val="{F356003D-0389-4D24-B1A8-22F830607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200" w:line="276" w:lineRule="auto"/>
    </w:pPr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mbria" w:eastAsia="Cambria" w:hAnsi="Cambria" w:cs="Cambria"/>
      <w:color w:val="0000FF"/>
      <w:kern w:val="0"/>
      <w:u w:val="single" w:color="0000FF"/>
    </w:rPr>
  </w:style>
  <w:style w:type="paragraph" w:styleId="NormaleWeb">
    <w:name w:val="Normal (Web)"/>
    <w:basedOn w:val="Normale"/>
    <w:uiPriority w:val="99"/>
    <w:semiHidden/>
    <w:unhideWhenUsed/>
    <w:rsid w:val="00AB2F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bdr w:val="none" w:sz="0" w:space="0" w:color="auto"/>
    </w:rPr>
  </w:style>
  <w:style w:type="character" w:styleId="Enfasigrassetto">
    <w:name w:val="Strong"/>
    <w:basedOn w:val="Carpredefinitoparagrafo"/>
    <w:uiPriority w:val="22"/>
    <w:qFormat/>
    <w:rsid w:val="00AB2FDE"/>
    <w:rPr>
      <w:b/>
      <w:bCs/>
    </w:rPr>
  </w:style>
  <w:style w:type="character" w:styleId="Enfasicorsivo">
    <w:name w:val="Emphasis"/>
    <w:basedOn w:val="Carpredefinitoparagrafo"/>
    <w:uiPriority w:val="20"/>
    <w:qFormat/>
    <w:rsid w:val="00AB2FDE"/>
    <w:rPr>
      <w:i/>
      <w:iCs/>
    </w:rPr>
  </w:style>
  <w:style w:type="character" w:customStyle="1" w:styleId="NessunoA">
    <w:name w:val="Nessuno A"/>
    <w:rsid w:val="00C5005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002B"/>
    <w:rPr>
      <w:rFonts w:ascii="Segoe UI" w:eastAsia="Calibri" w:hAnsi="Segoe UI" w:cs="Segoe UI"/>
      <w:color w:val="000000"/>
      <w:kern w:val="1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E53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366"/>
    <w:rPr>
      <w:rFonts w:ascii="Calibri" w:eastAsia="Calibri" w:hAnsi="Calibri" w:cs="Calibri"/>
      <w:color w:val="000000"/>
      <w:kern w:val="1"/>
      <w:sz w:val="22"/>
      <w:szCs w:val="22"/>
      <w:u w:color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0451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451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451F3"/>
    <w:rPr>
      <w:rFonts w:ascii="Calibri" w:eastAsia="Calibri" w:hAnsi="Calibri" w:cs="Calibri"/>
      <w:color w:val="000000"/>
      <w:kern w:val="1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1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1F3"/>
    <w:rPr>
      <w:rFonts w:ascii="Calibri" w:eastAsia="Calibri" w:hAnsi="Calibri" w:cs="Calibri"/>
      <w:b/>
      <w:bCs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4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22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4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9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35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57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6694D6"/>
                                                    <w:left w:val="none" w:sz="0" w:space="0" w:color="6694D6"/>
                                                    <w:bottom w:val="none" w:sz="0" w:space="0" w:color="6694D6"/>
                                                    <w:right w:val="none" w:sz="0" w:space="0" w:color="6694D6"/>
                                                  </w:divBdr>
                                                  <w:divsChild>
                                                    <w:div w:id="1889222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319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16" w:color="6694D6"/>
                                                            <w:left w:val="single" w:sz="2" w:space="0" w:color="6694D6"/>
                                                            <w:bottom w:val="single" w:sz="2" w:space="0" w:color="6694D6"/>
                                                            <w:right w:val="single" w:sz="2" w:space="0" w:color="6694D6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285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2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94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959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5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82</cp:revision>
  <cp:lastPrinted>2018-05-17T13:30:00Z</cp:lastPrinted>
  <dcterms:created xsi:type="dcterms:W3CDTF">2017-08-10T16:35:00Z</dcterms:created>
  <dcterms:modified xsi:type="dcterms:W3CDTF">2019-05-15T08:58:00Z</dcterms:modified>
</cp:coreProperties>
</file>